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adjustRightInd w:val="0"/>
        <w:spacing w:line="579" w:lineRule="exact"/>
        <w:jc w:val="right"/>
        <w:outlineLvl w:val="0"/>
        <w:rPr>
          <w:spacing w:val="0"/>
          <w:szCs w:val="32"/>
        </w:rPr>
      </w:pPr>
      <w:bookmarkStart w:id="1" w:name="_GoBack"/>
      <w:bookmarkEnd w:id="1"/>
      <w:r>
        <mc:AlternateContent>
          <mc:Choice Requires="wps">
            <w:drawing>
              <wp:anchor distT="0" distB="0" distL="114300" distR="114300" simplePos="0" relativeHeight="251660288" behindDoc="0" locked="0" layoutInCell="1" allowOverlap="1">
                <wp:simplePos x="0" y="0"/>
                <wp:positionH relativeFrom="column">
                  <wp:posOffset>4994910</wp:posOffset>
                </wp:positionH>
                <wp:positionV relativeFrom="paragraph">
                  <wp:posOffset>330835</wp:posOffset>
                </wp:positionV>
                <wp:extent cx="1056640" cy="4284980"/>
                <wp:effectExtent l="7620" t="7620" r="21590" b="12700"/>
                <wp:wrapSquare wrapText="bothSides"/>
                <wp:docPr id="2" name="文本框 5"/>
                <wp:cNvGraphicFramePr/>
                <a:graphic xmlns:a="http://schemas.openxmlformats.org/drawingml/2006/main">
                  <a:graphicData uri="http://schemas.microsoft.com/office/word/2010/wordprocessingShape">
                    <wps:wsp>
                      <wps:cNvSpPr txBox="1"/>
                      <wps:spPr>
                        <a:xfrm>
                          <a:off x="0" y="0"/>
                          <a:ext cx="1056640" cy="4284980"/>
                        </a:xfrm>
                        <a:prstGeom prst="rect">
                          <a:avLst/>
                        </a:prstGeom>
                        <a:solidFill>
                          <a:srgbClr val="FFFFFF"/>
                        </a:solidFill>
                        <a:ln w="15875" cap="flat" cmpd="sng">
                          <a:solidFill>
                            <a:srgbClr val="FFFFFF"/>
                          </a:solidFill>
                          <a:prstDash val="solid"/>
                          <a:miter/>
                          <a:headEnd type="none" w="med" len="med"/>
                          <a:tailEnd type="none" w="med" len="med"/>
                        </a:ln>
                      </wps:spPr>
                      <wps:txbx>
                        <w:txbxContent>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outlineLvl w:val="0"/>
                              <w:rPr>
                                <w:rFonts w:eastAsia="方正小标宋简体"/>
                                <w:color w:val="FF0000"/>
                                <w:spacing w:val="0"/>
                                <w:w w:val="80"/>
                                <w:sz w:val="84"/>
                                <w:szCs w:val="84"/>
                              </w:rPr>
                            </w:pPr>
                          </w:p>
                          <w:p>
                            <w:pPr>
                              <w:autoSpaceDN w:val="0"/>
                              <w:adjustRightInd w:val="0"/>
                              <w:spacing w:line="240" w:lineRule="auto"/>
                              <w:outlineLvl w:val="0"/>
                              <w:rPr>
                                <w:rFonts w:eastAsia="方正小标宋简体"/>
                                <w:color w:val="FF0000"/>
                                <w:spacing w:val="0"/>
                                <w:w w:val="80"/>
                                <w:sz w:val="84"/>
                                <w:szCs w:val="84"/>
                              </w:rPr>
                            </w:pPr>
                            <w:r>
                              <w:rPr>
                                <w:rFonts w:eastAsia="方正小标宋简体"/>
                                <w:color w:val="FF0000"/>
                                <w:spacing w:val="0"/>
                                <w:w w:val="80"/>
                                <w:sz w:val="84"/>
                                <w:szCs w:val="84"/>
                              </w:rPr>
                              <w:t>文件</w:t>
                            </w:r>
                          </w:p>
                        </w:txbxContent>
                      </wps:txbx>
                      <wps:bodyPr wrap="none" upright="1"/>
                    </wps:wsp>
                  </a:graphicData>
                </a:graphic>
              </wp:anchor>
            </w:drawing>
          </mc:Choice>
          <mc:Fallback>
            <w:pict>
              <v:shape id="文本框 5" o:spid="_x0000_s1026" o:spt="202" type="#_x0000_t202" style="position:absolute;left:0pt;margin-left:393.3pt;margin-top:26.05pt;height:337.4pt;width:83.2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z26l2AAAAAoBAAAPAAAAAAAAAAEA&#10;IAAAACIAAABkcnMvZG93bnJldi54bWxQSwECFAAUAAAACACHTuJARlN1sg8CAABEBAAADgAAAAAA&#10;AAABACAAAAAnAQAAZHJzL2Uyb0RvYy54bWxQSwUGAAAAAAYABgBZAQAAqAUAAAAA&#10;">
                <v:fill on="t" focussize="0,0"/>
                <v:stroke weight="1.25pt" color="#FFFFFF" joinstyle="miter"/>
                <v:imagedata o:title=""/>
                <o:lock v:ext="edit" aspectratio="f"/>
                <v:textbox>
                  <w:txbxContent>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jc w:val="right"/>
                        <w:outlineLvl w:val="0"/>
                        <w:rPr>
                          <w:rFonts w:eastAsia="方正小标宋简体"/>
                          <w:color w:val="FF0000"/>
                          <w:spacing w:val="0"/>
                          <w:w w:val="80"/>
                          <w:sz w:val="84"/>
                          <w:szCs w:val="84"/>
                        </w:rPr>
                      </w:pPr>
                    </w:p>
                    <w:p>
                      <w:pPr>
                        <w:autoSpaceDN w:val="0"/>
                        <w:adjustRightInd w:val="0"/>
                        <w:spacing w:line="579" w:lineRule="exact"/>
                        <w:outlineLvl w:val="0"/>
                        <w:rPr>
                          <w:rFonts w:eastAsia="方正小标宋简体"/>
                          <w:color w:val="FF0000"/>
                          <w:spacing w:val="0"/>
                          <w:w w:val="80"/>
                          <w:sz w:val="84"/>
                          <w:szCs w:val="84"/>
                        </w:rPr>
                      </w:pPr>
                    </w:p>
                    <w:p>
                      <w:pPr>
                        <w:autoSpaceDN w:val="0"/>
                        <w:adjustRightInd w:val="0"/>
                        <w:spacing w:line="240" w:lineRule="auto"/>
                        <w:outlineLvl w:val="0"/>
                        <w:rPr>
                          <w:rFonts w:eastAsia="方正小标宋简体"/>
                          <w:color w:val="FF0000"/>
                          <w:spacing w:val="0"/>
                          <w:w w:val="80"/>
                          <w:sz w:val="84"/>
                          <w:szCs w:val="84"/>
                        </w:rPr>
                      </w:pPr>
                      <w:r>
                        <w:rPr>
                          <w:rFonts w:eastAsia="方正小标宋简体"/>
                          <w:color w:val="FF0000"/>
                          <w:spacing w:val="0"/>
                          <w:w w:val="80"/>
                          <w:sz w:val="84"/>
                          <w:szCs w:val="84"/>
                        </w:rPr>
                        <w:t>文件</w:t>
                      </w:r>
                    </w:p>
                  </w:txbxContent>
                </v:textbox>
                <w10:wrap type="square"/>
              </v:shape>
            </w:pict>
          </mc:Fallback>
        </mc:AlternateContent>
      </w:r>
    </w:p>
    <w:p>
      <w:pPr>
        <w:spacing w:line="480" w:lineRule="exact"/>
        <w:jc w:val="distribute"/>
        <w:rPr>
          <w:rFonts w:eastAsia="方正小标宋简体"/>
          <w:color w:val="FF0000"/>
          <w:spacing w:val="0"/>
          <w:w w:val="80"/>
          <w:sz w:val="48"/>
          <w:szCs w:val="48"/>
        </w:rPr>
      </w:pPr>
      <w:r>
        <w:rPr>
          <w:rFonts w:eastAsia="方正小标宋简体"/>
          <w:color w:val="FF0000"/>
          <w:spacing w:val="0"/>
          <w:w w:val="80"/>
          <w:sz w:val="48"/>
          <w:szCs w:val="48"/>
        </w:rPr>
        <w:t>浙江省发展和改革委员会</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浙江省财政厅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浙江省人力资源和社会保障厅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浙江省住房和城乡建设厅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浙江省交通运输厅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浙江省商务厅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浙江省文化和旅游厅</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浙江省卫生健康委员会</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浙江省人民政府国有资产监督管理委员会</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国家税务总局浙江省税务局</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浙江省市场监督管理局</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中国人民银行杭州中心支行</w:t>
      </w:r>
    </w:p>
    <w:p>
      <w:pPr>
        <w:spacing w:line="480" w:lineRule="exact"/>
        <w:jc w:val="distribute"/>
        <w:rPr>
          <w:rFonts w:hint="eastAsia" w:eastAsia="方正小标宋简体"/>
          <w:color w:val="FF0000"/>
          <w:spacing w:val="0"/>
          <w:w w:val="80"/>
          <w:sz w:val="48"/>
          <w:szCs w:val="48"/>
        </w:rPr>
      </w:pPr>
      <w:r>
        <w:rPr>
          <w:rFonts w:hint="eastAsia" w:eastAsia="方正小标宋简体"/>
          <w:color w:val="FF0000"/>
          <w:spacing w:val="0"/>
          <w:w w:val="80"/>
          <w:sz w:val="48"/>
          <w:szCs w:val="48"/>
        </w:rPr>
        <w:t>中国银行保险监督管理委员会浙江监管局</w:t>
      </w:r>
    </w:p>
    <w:p>
      <w:pPr>
        <w:spacing w:line="480" w:lineRule="exact"/>
        <w:jc w:val="distribute"/>
        <w:rPr>
          <w:rFonts w:eastAsia="方正小标宋简体"/>
          <w:color w:val="FF0000"/>
          <w:spacing w:val="0"/>
          <w:w w:val="80"/>
          <w:sz w:val="50"/>
          <w:szCs w:val="50"/>
        </w:rPr>
      </w:pPr>
      <w:r>
        <w:rPr>
          <w:rFonts w:hint="eastAsia" w:eastAsia="方正小标宋简体"/>
          <w:color w:val="FF0000"/>
          <w:spacing w:val="0"/>
          <w:w w:val="80"/>
          <w:sz w:val="48"/>
          <w:szCs w:val="48"/>
        </w:rPr>
        <w:t>中国民航浙江安全监督管理局</w:t>
      </w:r>
    </w:p>
    <w:p>
      <w:pPr>
        <w:spacing w:line="579" w:lineRule="exact"/>
        <w:jc w:val="center"/>
        <w:rPr>
          <w:rFonts w:hint="eastAsia"/>
          <w:spacing w:val="0"/>
          <w:szCs w:val="32"/>
        </w:rPr>
      </w:pPr>
    </w:p>
    <w:p>
      <w:pPr>
        <w:spacing w:line="579" w:lineRule="exact"/>
        <w:jc w:val="center"/>
        <w:rPr>
          <w:b/>
          <w:spacing w:val="0"/>
          <w:szCs w:val="32"/>
        </w:rPr>
      </w:pPr>
      <w:r>
        <w:rPr>
          <w:spacing w:val="0"/>
          <w:szCs w:val="32"/>
        </w:rPr>
        <w:t>浙发改服务〔2022〕85号</w:t>
      </w:r>
    </w:p>
    <w:p>
      <w:pPr>
        <w:spacing w:line="530" w:lineRule="exact"/>
        <w:ind w:right="628" w:rightChars="200"/>
        <w:jc w:val="right"/>
        <w:rPr>
          <w:spacing w:val="0"/>
        </w:rPr>
      </w:pPr>
      <w:r>
        <w:rPr>
          <w:rFonts w:hint="eastAsia"/>
          <w:szCs w:val="32"/>
        </w:rPr>
        <mc:AlternateContent>
          <mc:Choice Requires="wps">
            <w:drawing>
              <wp:anchor distT="0" distB="0" distL="114300" distR="114300" simplePos="0" relativeHeight="251659264" behindDoc="1" locked="0" layoutInCell="1" allowOverlap="1">
                <wp:simplePos x="0" y="0"/>
                <wp:positionH relativeFrom="column">
                  <wp:posOffset>-8890</wp:posOffset>
                </wp:positionH>
                <wp:positionV relativeFrom="paragraph">
                  <wp:posOffset>120650</wp:posOffset>
                </wp:positionV>
                <wp:extent cx="5615940" cy="0"/>
                <wp:effectExtent l="0" t="15875" r="3810" b="22225"/>
                <wp:wrapNone/>
                <wp:docPr id="1" name="直线 4"/>
                <wp:cNvGraphicFramePr/>
                <a:graphic xmlns:a="http://schemas.openxmlformats.org/drawingml/2006/main">
                  <a:graphicData uri="http://schemas.microsoft.com/office/word/2010/wordprocessingShape">
                    <wps:wsp>
                      <wps:cNvSp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7pt;margin-top:9.5pt;height:0pt;width:442.2pt;z-index:-251657216;mso-width-relative:page;mso-height-relative:page;" filled="f" stroked="t" coordsize="21600,21600" o:gfxdata="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01CHV&#10;AAAACAEAAA8AAAAAAAAAAQAgAAAAIgAAAGRycy9kb3ducmV2LnhtbFBLAQIUABQAAAAIAIdO4kDN&#10;Jg+u6gEAANwDAAAOAAAAAAAAAAEAIAAAACQBAABkcnMvZTJvRG9jLnhtbFBLBQYAAAAABgAGAFkB&#10;AACABQAAAAA=&#10;">
                <v:fill on="f" focussize="0,0"/>
                <v:stroke weight="2.5pt" color="#FF0000" joinstyle="round"/>
                <v:imagedata o:title=""/>
                <o:lock v:ext="edit" aspectratio="f"/>
              </v:line>
            </w:pict>
          </mc:Fallback>
        </mc:AlternateContent>
      </w:r>
    </w:p>
    <w:p>
      <w:pPr>
        <w:spacing w:line="530" w:lineRule="exact"/>
        <w:jc w:val="right"/>
        <w:rPr>
          <w:spacing w:val="0"/>
        </w:rPr>
      </w:pPr>
    </w:p>
    <w:p>
      <w:pPr>
        <w:spacing w:line="530" w:lineRule="exact"/>
        <w:jc w:val="center"/>
        <w:rPr>
          <w:rFonts w:eastAsia="方正小标宋简体"/>
          <w:sz w:val="44"/>
          <w:szCs w:val="44"/>
        </w:rPr>
      </w:pPr>
      <w:bookmarkStart w:id="0" w:name="正文"/>
      <w:bookmarkEnd w:id="0"/>
      <w:r>
        <w:rPr>
          <w:rFonts w:eastAsia="方正小标宋简体"/>
          <w:sz w:val="44"/>
          <w:szCs w:val="44"/>
        </w:rPr>
        <w:t>浙江省发展和改革委员会等14部门关于联合</w:t>
      </w:r>
    </w:p>
    <w:p>
      <w:pPr>
        <w:spacing w:line="530" w:lineRule="exact"/>
        <w:jc w:val="center"/>
        <w:rPr>
          <w:rFonts w:eastAsia="方正小标宋简体"/>
          <w:sz w:val="44"/>
          <w:szCs w:val="44"/>
        </w:rPr>
      </w:pPr>
      <w:r>
        <w:rPr>
          <w:rFonts w:eastAsia="方正小标宋简体"/>
          <w:sz w:val="44"/>
          <w:szCs w:val="44"/>
        </w:rPr>
        <w:t>印发《浙江省关于促进服务业领域困难行业</w:t>
      </w:r>
    </w:p>
    <w:p>
      <w:pPr>
        <w:spacing w:line="530" w:lineRule="exact"/>
        <w:jc w:val="center"/>
        <w:rPr>
          <w:rFonts w:eastAsia="方正小标宋简体"/>
          <w:sz w:val="44"/>
          <w:szCs w:val="44"/>
        </w:rPr>
      </w:pPr>
      <w:r>
        <w:rPr>
          <w:rFonts w:eastAsia="方正小标宋简体"/>
          <w:sz w:val="44"/>
          <w:szCs w:val="44"/>
        </w:rPr>
        <w:t>恢复发展的政策意见》的通知</w:t>
      </w:r>
    </w:p>
    <w:p>
      <w:pPr>
        <w:spacing w:line="530" w:lineRule="exact"/>
      </w:pPr>
    </w:p>
    <w:p>
      <w:pPr>
        <w:spacing w:line="530" w:lineRule="exact"/>
        <w:rPr>
          <w:rFonts w:ascii="仿宋_GB2312" w:cs="仿宋_GB2312"/>
          <w:szCs w:val="32"/>
        </w:rPr>
      </w:pPr>
      <w:r>
        <w:rPr>
          <w:rFonts w:ascii="仿宋_GB2312" w:cs="仿宋_GB2312"/>
          <w:szCs w:val="32"/>
          <w:lang w:bidi="ar"/>
        </w:rPr>
        <w:t>各市、县（市、区）人民政府，省政府直属各单位：</w:t>
      </w:r>
    </w:p>
    <w:p>
      <w:pPr>
        <w:spacing w:line="530" w:lineRule="exact"/>
        <w:rPr>
          <w:rFonts w:ascii="仿宋_GB2312" w:cs="仿宋_GB2312"/>
          <w:szCs w:val="32"/>
        </w:rPr>
      </w:pPr>
      <w:r>
        <w:rPr>
          <w:rFonts w:ascii="仿宋_GB2312" w:cs="仿宋_GB2312"/>
          <w:szCs w:val="32"/>
          <w:lang w:bidi="ar"/>
        </w:rPr>
        <w:t xml:space="preserve">    经省政府同意，现将《浙江省关于促进服务业领域困难行业恢复发展的政策意见》印发给你们，请认真组织实施。</w:t>
      </w:r>
    </w:p>
    <w:p>
      <w:pPr>
        <w:spacing w:line="600" w:lineRule="exact"/>
        <w:rPr>
          <w:rFonts w:ascii="仿宋_GB2312" w:cs="仿宋_GB2312"/>
          <w:szCs w:val="32"/>
        </w:rPr>
      </w:pPr>
      <w:r>
        <w:rPr>
          <w:rFonts w:ascii="仿宋_GB2312" w:cs="仿宋_GB2312"/>
          <w:szCs w:val="32"/>
          <w:lang w:bidi="ar"/>
        </w:rPr>
        <w:t xml:space="preserve"> </w:t>
      </w:r>
    </w:p>
    <w:p>
      <w:pPr>
        <w:spacing w:line="600" w:lineRule="exact"/>
        <w:rPr>
          <w:rFonts w:ascii="仿宋_GB2312" w:cs="仿宋_GB2312"/>
          <w:szCs w:val="32"/>
          <w:lang w:bidi="ar"/>
        </w:rPr>
      </w:pPr>
      <w:r>
        <w:rPr>
          <w:rFonts w:ascii="仿宋_GB2312" w:cs="仿宋_GB2312"/>
          <w:szCs w:val="32"/>
          <w:lang w:bidi="ar"/>
        </w:rPr>
        <w:t xml:space="preserve"> </w:t>
      </w:r>
    </w:p>
    <w:p>
      <w:pPr>
        <w:spacing w:line="600" w:lineRule="exact"/>
        <w:rPr>
          <w:rFonts w:ascii="仿宋_GB2312" w:cs="仿宋_GB2312"/>
          <w:szCs w:val="32"/>
          <w:lang w:bidi="ar"/>
        </w:rPr>
      </w:pPr>
    </w:p>
    <w:p>
      <w:pPr>
        <w:spacing w:line="600" w:lineRule="exact"/>
        <w:rPr>
          <w:rFonts w:ascii="仿宋_GB2312" w:cs="仿宋_GB2312"/>
          <w:spacing w:val="-28"/>
          <w:szCs w:val="32"/>
        </w:rPr>
      </w:pPr>
      <w:r>
        <w:rPr>
          <w:rFonts w:ascii="仿宋_GB2312" w:cs="仿宋_GB2312"/>
          <w:spacing w:val="-28"/>
          <w:szCs w:val="32"/>
          <w:lang w:bidi="ar"/>
        </w:rPr>
        <w:t>浙江省发展和改革委员会</w:t>
      </w:r>
      <w:r>
        <w:rPr>
          <w:rFonts w:hint="eastAsia" w:ascii="仿宋_GB2312" w:cs="仿宋_GB2312"/>
          <w:spacing w:val="-28"/>
          <w:szCs w:val="32"/>
          <w:lang w:bidi="ar"/>
        </w:rPr>
        <w:t xml:space="preserve">  </w:t>
      </w:r>
      <w:r>
        <w:rPr>
          <w:rFonts w:ascii="仿宋_GB2312" w:cs="仿宋_GB2312"/>
          <w:spacing w:val="-28"/>
          <w:szCs w:val="32"/>
          <w:lang w:bidi="ar"/>
        </w:rPr>
        <w:t>浙江省财政厅</w:t>
      </w:r>
      <w:r>
        <w:rPr>
          <w:rFonts w:hint="eastAsia" w:ascii="仿宋_GB2312" w:cs="仿宋_GB2312"/>
          <w:spacing w:val="-28"/>
          <w:szCs w:val="32"/>
          <w:lang w:bidi="ar"/>
        </w:rPr>
        <w:t xml:space="preserve">  </w:t>
      </w:r>
      <w:r>
        <w:rPr>
          <w:rFonts w:ascii="仿宋_GB2312" w:cs="仿宋_GB2312"/>
          <w:spacing w:val="-28"/>
          <w:szCs w:val="32"/>
          <w:lang w:bidi="ar"/>
        </w:rPr>
        <w:t>浙江省人力资源和社会保障厅</w:t>
      </w: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left"/>
        <w:rPr>
          <w:rFonts w:ascii="仿宋_GB2312" w:cs="仿宋_GB2312"/>
          <w:szCs w:val="32"/>
        </w:rPr>
      </w:pPr>
      <w:r>
        <w:rPr>
          <w:rFonts w:ascii="仿宋_GB2312" w:cs="仿宋_GB2312"/>
          <w:szCs w:val="32"/>
          <w:lang w:bidi="ar"/>
        </w:rPr>
        <w:t>浙江省住房和城乡建设厅</w:t>
      </w:r>
      <w:r>
        <w:rPr>
          <w:rFonts w:hint="eastAsia" w:ascii="仿宋_GB2312" w:cs="仿宋_GB2312"/>
          <w:szCs w:val="32"/>
          <w:lang w:bidi="ar"/>
        </w:rPr>
        <w:t xml:space="preserve">  </w:t>
      </w:r>
      <w:r>
        <w:rPr>
          <w:rFonts w:ascii="仿宋_GB2312" w:cs="仿宋_GB2312"/>
          <w:szCs w:val="32"/>
          <w:lang w:bidi="ar"/>
        </w:rPr>
        <w:t>浙江省交通运输厅</w:t>
      </w:r>
      <w:r>
        <w:rPr>
          <w:rFonts w:hint="eastAsia" w:ascii="仿宋_GB2312" w:cs="仿宋_GB2312"/>
          <w:szCs w:val="32"/>
          <w:lang w:bidi="ar"/>
        </w:rPr>
        <w:t xml:space="preserve">  </w:t>
      </w:r>
      <w:r>
        <w:rPr>
          <w:rFonts w:ascii="仿宋_GB2312" w:cs="仿宋_GB2312"/>
          <w:szCs w:val="32"/>
          <w:lang w:bidi="ar"/>
        </w:rPr>
        <w:t>浙江省商务厅</w:t>
      </w: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left"/>
        <w:rPr>
          <w:rFonts w:ascii="仿宋_GB2312" w:cs="仿宋_GB2312"/>
          <w:spacing w:val="-17"/>
          <w:w w:val="80"/>
          <w:szCs w:val="32"/>
        </w:rPr>
      </w:pPr>
      <w:r>
        <w:rPr>
          <w:rFonts w:ascii="仿宋_GB2312" w:cs="仿宋_GB2312"/>
          <w:spacing w:val="-17"/>
          <w:w w:val="80"/>
          <w:szCs w:val="32"/>
          <w:lang w:bidi="ar"/>
        </w:rPr>
        <w:t>浙江省文化和旅游厅</w:t>
      </w:r>
      <w:r>
        <w:rPr>
          <w:rFonts w:hint="eastAsia" w:ascii="仿宋_GB2312" w:cs="仿宋_GB2312"/>
          <w:spacing w:val="-17"/>
          <w:w w:val="80"/>
          <w:szCs w:val="32"/>
          <w:lang w:bidi="ar"/>
        </w:rPr>
        <w:t xml:space="preserve">  </w:t>
      </w:r>
      <w:r>
        <w:rPr>
          <w:rFonts w:ascii="仿宋_GB2312" w:cs="仿宋_GB2312"/>
          <w:spacing w:val="-17"/>
          <w:w w:val="80"/>
          <w:szCs w:val="32"/>
          <w:lang w:bidi="ar"/>
        </w:rPr>
        <w:t>浙江省卫生健康委员会</w:t>
      </w:r>
      <w:r>
        <w:rPr>
          <w:rFonts w:hint="eastAsia" w:ascii="仿宋_GB2312" w:cs="仿宋_GB2312"/>
          <w:spacing w:val="-17"/>
          <w:w w:val="80"/>
          <w:szCs w:val="32"/>
          <w:lang w:bidi="ar"/>
        </w:rPr>
        <w:t xml:space="preserve">  </w:t>
      </w:r>
      <w:r>
        <w:rPr>
          <w:rFonts w:ascii="仿宋_GB2312" w:cs="仿宋_GB2312"/>
          <w:spacing w:val="-17"/>
          <w:w w:val="80"/>
          <w:szCs w:val="32"/>
          <w:lang w:bidi="ar"/>
        </w:rPr>
        <w:t>浙江省人民政府国有资产监督管理委员会</w:t>
      </w: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right"/>
        <w:rPr>
          <w:rFonts w:ascii="仿宋_GB2312" w:cs="仿宋_GB2312"/>
          <w:szCs w:val="32"/>
          <w:lang w:bidi="ar"/>
        </w:rPr>
      </w:pPr>
    </w:p>
    <w:p>
      <w:pPr>
        <w:spacing w:line="600" w:lineRule="exact"/>
        <w:jc w:val="left"/>
        <w:rPr>
          <w:rFonts w:ascii="仿宋_GB2312" w:cs="仿宋_GB2312"/>
          <w:szCs w:val="32"/>
        </w:rPr>
      </w:pPr>
      <w:r>
        <w:rPr>
          <w:rFonts w:ascii="仿宋_GB2312" w:cs="仿宋_GB2312"/>
          <w:w w:val="80"/>
          <w:szCs w:val="32"/>
          <w:lang w:bidi="ar"/>
        </w:rPr>
        <w:t>国家税务总局浙江省税务局</w:t>
      </w:r>
      <w:r>
        <w:rPr>
          <w:rFonts w:hint="eastAsia" w:ascii="仿宋_GB2312" w:cs="仿宋_GB2312"/>
          <w:w w:val="80"/>
          <w:szCs w:val="32"/>
          <w:lang w:bidi="ar"/>
        </w:rPr>
        <w:t xml:space="preserve"> </w:t>
      </w:r>
      <w:r>
        <w:rPr>
          <w:rFonts w:ascii="仿宋_GB2312" w:cs="仿宋_GB2312"/>
          <w:w w:val="80"/>
          <w:szCs w:val="32"/>
          <w:lang w:bidi="ar"/>
        </w:rPr>
        <w:t>浙江省市场监督管理局</w:t>
      </w:r>
      <w:r>
        <w:rPr>
          <w:rFonts w:hint="eastAsia" w:ascii="仿宋_GB2312" w:cs="仿宋_GB2312"/>
          <w:w w:val="80"/>
          <w:szCs w:val="32"/>
          <w:lang w:bidi="ar"/>
        </w:rPr>
        <w:t xml:space="preserve"> </w:t>
      </w:r>
      <w:r>
        <w:rPr>
          <w:rFonts w:ascii="仿宋_GB2312" w:cs="仿宋_GB2312"/>
          <w:w w:val="80"/>
          <w:szCs w:val="32"/>
          <w:lang w:bidi="ar"/>
        </w:rPr>
        <w:t>中国人民银行杭州中心支行</w:t>
      </w:r>
    </w:p>
    <w:p>
      <w:pPr>
        <w:spacing w:line="579" w:lineRule="exact"/>
        <w:rPr>
          <w:spacing w:val="-28"/>
          <w:szCs w:val="32"/>
          <w:lang w:bidi="ar"/>
        </w:rPr>
      </w:pPr>
    </w:p>
    <w:p>
      <w:pPr>
        <w:spacing w:line="579" w:lineRule="exact"/>
        <w:rPr>
          <w:spacing w:val="-28"/>
          <w:szCs w:val="32"/>
          <w:lang w:bidi="ar"/>
        </w:rPr>
      </w:pPr>
    </w:p>
    <w:p>
      <w:pPr>
        <w:spacing w:line="579" w:lineRule="exact"/>
        <w:rPr>
          <w:spacing w:val="-28"/>
          <w:szCs w:val="32"/>
          <w:lang w:bidi="ar"/>
        </w:rPr>
      </w:pPr>
    </w:p>
    <w:p>
      <w:pPr>
        <w:spacing w:line="579" w:lineRule="exact"/>
        <w:rPr>
          <w:spacing w:val="-28"/>
          <w:szCs w:val="32"/>
          <w:lang w:bidi="ar"/>
        </w:rPr>
      </w:pPr>
    </w:p>
    <w:p>
      <w:pPr>
        <w:spacing w:line="579" w:lineRule="exact"/>
        <w:rPr>
          <w:spacing w:val="-28"/>
          <w:szCs w:val="32"/>
        </w:rPr>
      </w:pPr>
      <w:r>
        <w:rPr>
          <w:spacing w:val="-28"/>
          <w:szCs w:val="32"/>
          <w:lang w:bidi="ar"/>
        </w:rPr>
        <w:t>中国银行保险监督管理委员会浙江监管局   中国民航浙江安全监督管理局</w:t>
      </w:r>
    </w:p>
    <w:p>
      <w:pPr>
        <w:spacing w:line="579" w:lineRule="exact"/>
        <w:jc w:val="center"/>
        <w:rPr>
          <w:szCs w:val="32"/>
        </w:rPr>
      </w:pPr>
      <w:r>
        <w:rPr>
          <w:rFonts w:hint="eastAsia"/>
          <w:szCs w:val="32"/>
          <w:lang w:bidi="ar"/>
        </w:rPr>
        <w:t xml:space="preserve">                                 </w:t>
      </w:r>
      <w:r>
        <w:rPr>
          <w:szCs w:val="32"/>
          <w:lang w:bidi="ar"/>
        </w:rPr>
        <w:t>2022年3月3</w:t>
      </w:r>
      <w:r>
        <w:rPr>
          <w:rFonts w:hint="eastAsia"/>
          <w:szCs w:val="32"/>
          <w:lang w:bidi="ar"/>
        </w:rPr>
        <w:t>1</w:t>
      </w:r>
      <w:r>
        <w:rPr>
          <w:szCs w:val="32"/>
          <w:lang w:bidi="ar"/>
        </w:rPr>
        <w:t>日</w:t>
      </w:r>
    </w:p>
    <w:p>
      <w:pPr>
        <w:spacing w:line="579" w:lineRule="exact"/>
        <w:rPr>
          <w:rFonts w:eastAsia="方正小标宋简体"/>
          <w:sz w:val="44"/>
          <w:szCs w:val="44"/>
        </w:rPr>
      </w:pPr>
      <w:r>
        <w:rPr>
          <w:rFonts w:ascii="仿宋_GB2312" w:cs="仿宋_GB2312"/>
          <w:szCs w:val="32"/>
          <w:lang w:bidi="ar"/>
        </w:rPr>
        <w:br w:type="page"/>
      </w:r>
      <w:r>
        <w:rPr>
          <w:rFonts w:eastAsia="方正小标宋简体"/>
          <w:sz w:val="44"/>
          <w:szCs w:val="44"/>
          <w:lang w:bidi="ar"/>
        </w:rPr>
        <w:t xml:space="preserve"> </w:t>
      </w:r>
    </w:p>
    <w:p>
      <w:pPr>
        <w:spacing w:line="579" w:lineRule="exact"/>
        <w:jc w:val="center"/>
        <w:rPr>
          <w:rFonts w:eastAsia="方正小标宋简体"/>
          <w:sz w:val="44"/>
          <w:szCs w:val="44"/>
        </w:rPr>
      </w:pPr>
      <w:r>
        <w:rPr>
          <w:rFonts w:hint="eastAsia" w:ascii="方正小标宋简体" w:hAnsi="方正小标宋简体" w:eastAsia="方正小标宋简体" w:cs="方正小标宋简体"/>
          <w:sz w:val="44"/>
          <w:szCs w:val="44"/>
          <w:lang w:bidi="ar"/>
        </w:rPr>
        <w:t>浙江省关于促进服务业领域困难行业</w:t>
      </w:r>
    </w:p>
    <w:p>
      <w:pPr>
        <w:spacing w:line="579" w:lineRule="exact"/>
        <w:jc w:val="center"/>
        <w:rPr>
          <w:rFonts w:eastAsia="方正小标宋简体"/>
          <w:spacing w:val="-20"/>
          <w:sz w:val="44"/>
          <w:szCs w:val="44"/>
        </w:rPr>
      </w:pPr>
      <w:r>
        <w:rPr>
          <w:rFonts w:hint="eastAsia" w:ascii="方正小标宋简体" w:hAnsi="方正小标宋简体" w:eastAsia="方正小标宋简体" w:cs="方正小标宋简体"/>
          <w:sz w:val="44"/>
          <w:szCs w:val="44"/>
          <w:lang w:bidi="ar"/>
        </w:rPr>
        <w:t>恢复发展的政策意见</w:t>
      </w:r>
    </w:p>
    <w:p>
      <w:pPr>
        <w:adjustRightInd w:val="0"/>
        <w:snapToGrid w:val="0"/>
        <w:spacing w:line="579" w:lineRule="exact"/>
        <w:ind w:firstLine="628" w:firstLineChars="200"/>
        <w:rPr>
          <w:szCs w:val="32"/>
        </w:rPr>
      </w:pPr>
      <w:r>
        <w:rPr>
          <w:szCs w:val="32"/>
          <w:lang w:bidi="ar"/>
        </w:rPr>
        <w:t xml:space="preserve"> </w:t>
      </w:r>
    </w:p>
    <w:p>
      <w:pPr>
        <w:adjustRightInd w:val="0"/>
        <w:snapToGrid w:val="0"/>
        <w:spacing w:line="579" w:lineRule="exact"/>
        <w:ind w:firstLine="628" w:firstLineChars="200"/>
        <w:rPr>
          <w:szCs w:val="32"/>
        </w:rPr>
      </w:pPr>
      <w:r>
        <w:rPr>
          <w:rFonts w:ascii="仿宋_GB2312" w:cs="仿宋_GB2312"/>
          <w:szCs w:val="32"/>
          <w:lang w:bidi="ar"/>
        </w:rPr>
        <w:t>根据党中央、国务院和省委、省政府决策部署，为贯彻落实《关于促进服务业领域困难行业恢复发展的若干政策》（发改财金〔</w:t>
      </w:r>
      <w:r>
        <w:rPr>
          <w:szCs w:val="32"/>
          <w:lang w:bidi="ar"/>
        </w:rPr>
        <w:t>2022</w:t>
      </w:r>
      <w:r>
        <w:rPr>
          <w:rFonts w:ascii="仿宋_GB2312" w:cs="仿宋_GB2312"/>
          <w:szCs w:val="32"/>
          <w:lang w:bidi="ar"/>
        </w:rPr>
        <w:t>〕</w:t>
      </w:r>
      <w:r>
        <w:rPr>
          <w:szCs w:val="32"/>
          <w:lang w:bidi="ar"/>
        </w:rPr>
        <w:t>271</w:t>
      </w:r>
      <w:r>
        <w:rPr>
          <w:rFonts w:ascii="仿宋_GB2312" w:cs="仿宋_GB2312"/>
          <w:szCs w:val="32"/>
          <w:lang w:bidi="ar"/>
        </w:rPr>
        <w:t>号），更大力度帮助我省服务业领域困难行业渡过难关、恢复发展，现提出以下助企纾困扶持政策措施。</w:t>
      </w:r>
    </w:p>
    <w:p>
      <w:pPr>
        <w:spacing w:line="579" w:lineRule="exact"/>
        <w:ind w:firstLine="628" w:firstLineChars="200"/>
        <w:rPr>
          <w:rFonts w:eastAsia="黑体"/>
          <w:kern w:val="44"/>
          <w:szCs w:val="32"/>
        </w:rPr>
      </w:pPr>
      <w:r>
        <w:rPr>
          <w:rFonts w:ascii="黑体" w:hAnsi="宋体" w:eastAsia="黑体" w:cs="黑体"/>
          <w:kern w:val="44"/>
          <w:szCs w:val="32"/>
          <w:lang w:bidi="ar"/>
        </w:rPr>
        <w:t>一、全面落实普惠性纾困扶持措施</w:t>
      </w:r>
    </w:p>
    <w:p>
      <w:pPr>
        <w:adjustRightInd w:val="0"/>
        <w:snapToGrid w:val="0"/>
        <w:spacing w:line="579" w:lineRule="exact"/>
        <w:ind w:firstLine="628" w:firstLineChars="200"/>
        <w:rPr>
          <w:rFonts w:eastAsia="楷体_GB2312"/>
          <w:szCs w:val="32"/>
        </w:rPr>
      </w:pPr>
      <w:r>
        <w:rPr>
          <w:szCs w:val="32"/>
          <w:lang w:bidi="ar"/>
        </w:rPr>
        <w:t>1</w:t>
      </w:r>
      <w:r>
        <w:rPr>
          <w:rFonts w:ascii="仿宋_GB2312" w:cs="仿宋_GB2312"/>
          <w:szCs w:val="32"/>
          <w:lang w:bidi="ar"/>
        </w:rPr>
        <w:t>．延续服务业增值税加计抵减政策。对生产、生活性服务业纳税人当期可抵扣进项税额继续分别按</w:t>
      </w:r>
      <w:r>
        <w:rPr>
          <w:szCs w:val="32"/>
          <w:lang w:bidi="ar"/>
        </w:rPr>
        <w:t>10%</w:t>
      </w:r>
      <w:r>
        <w:rPr>
          <w:rFonts w:ascii="仿宋_GB2312" w:cs="仿宋_GB2312"/>
          <w:szCs w:val="32"/>
          <w:lang w:bidi="ar"/>
        </w:rPr>
        <w:t>和</w:t>
      </w:r>
      <w:r>
        <w:rPr>
          <w:szCs w:val="32"/>
          <w:lang w:bidi="ar"/>
        </w:rPr>
        <w:t>15%</w:t>
      </w:r>
      <w:r>
        <w:rPr>
          <w:rFonts w:ascii="仿宋_GB2312" w:cs="仿宋_GB2312"/>
          <w:szCs w:val="32"/>
          <w:lang w:bidi="ar"/>
        </w:rPr>
        <w:t>加计抵减应纳税额。执行时间至</w:t>
      </w:r>
      <w:r>
        <w:rPr>
          <w:szCs w:val="32"/>
          <w:lang w:bidi="ar"/>
        </w:rPr>
        <w:t>2022</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szCs w:val="32"/>
          <w:lang w:bidi="ar"/>
        </w:rPr>
        <w:t>2</w:t>
      </w:r>
      <w:r>
        <w:rPr>
          <w:rFonts w:ascii="仿宋_GB2312" w:cs="仿宋_GB2312"/>
          <w:szCs w:val="32"/>
          <w:lang w:bidi="ar"/>
        </w:rPr>
        <w:t>．继续实施小微企业普惠性税收优惠政策。增值税小规模纳税人月销售额</w:t>
      </w:r>
      <w:r>
        <w:rPr>
          <w:szCs w:val="32"/>
          <w:lang w:bidi="ar"/>
        </w:rPr>
        <w:t>15</w:t>
      </w:r>
      <w:r>
        <w:rPr>
          <w:rFonts w:ascii="仿宋_GB2312" w:cs="仿宋_GB2312"/>
          <w:szCs w:val="32"/>
          <w:lang w:bidi="ar"/>
        </w:rPr>
        <w:t>万元（含本数）以下免税。执行时间至</w:t>
      </w:r>
      <w:r>
        <w:rPr>
          <w:szCs w:val="32"/>
          <w:lang w:bidi="ar"/>
        </w:rPr>
        <w:t>2022</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日。符合条件的服务业市场主体可以享受。</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rFonts w:eastAsia="楷体_GB2312"/>
          <w:szCs w:val="32"/>
          <w:lang w:bidi="ar"/>
        </w:rPr>
        <w:t>3</w:t>
      </w:r>
      <w:r>
        <w:rPr>
          <w:rFonts w:ascii="仿宋_GB2312" w:cs="仿宋_GB2312"/>
          <w:szCs w:val="32"/>
          <w:lang w:bidi="ar"/>
        </w:rPr>
        <w:t>．进一步支持小微企业发展。增值税小规模纳税人适用</w:t>
      </w:r>
      <w:r>
        <w:rPr>
          <w:szCs w:val="32"/>
          <w:lang w:bidi="ar"/>
        </w:rPr>
        <w:t>3%</w:t>
      </w:r>
      <w:r>
        <w:rPr>
          <w:rFonts w:ascii="仿宋_GB2312" w:cs="仿宋_GB2312"/>
          <w:szCs w:val="32"/>
          <w:lang w:bidi="ar"/>
        </w:rPr>
        <w:t>征收率的应税销售收入，免征增值税；适用</w:t>
      </w:r>
      <w:r>
        <w:rPr>
          <w:szCs w:val="32"/>
          <w:lang w:bidi="ar"/>
        </w:rPr>
        <w:t>3%</w:t>
      </w:r>
      <w:r>
        <w:rPr>
          <w:rFonts w:ascii="仿宋_GB2312" w:cs="仿宋_GB2312"/>
          <w:szCs w:val="32"/>
          <w:lang w:bidi="ar"/>
        </w:rPr>
        <w:t>预征率的预缴增值税项目，暂停预缴增值税。执行时间自</w:t>
      </w:r>
      <w:r>
        <w:rPr>
          <w:szCs w:val="32"/>
          <w:lang w:bidi="ar"/>
        </w:rPr>
        <w:t>2022</w:t>
      </w:r>
      <w:r>
        <w:rPr>
          <w:rFonts w:ascii="仿宋_GB2312" w:cs="仿宋_GB2312"/>
          <w:szCs w:val="32"/>
          <w:lang w:bidi="ar"/>
        </w:rPr>
        <w:t>年</w:t>
      </w:r>
      <w:r>
        <w:rPr>
          <w:szCs w:val="32"/>
          <w:lang w:bidi="ar"/>
        </w:rPr>
        <w:t>4</w:t>
      </w:r>
      <w:r>
        <w:rPr>
          <w:rFonts w:ascii="仿宋_GB2312" w:cs="仿宋_GB2312"/>
          <w:szCs w:val="32"/>
          <w:lang w:bidi="ar"/>
        </w:rPr>
        <w:t>月</w:t>
      </w:r>
      <w:r>
        <w:rPr>
          <w:szCs w:val="32"/>
          <w:lang w:bidi="ar"/>
        </w:rPr>
        <w:t>1</w:t>
      </w:r>
      <w:r>
        <w:rPr>
          <w:rFonts w:ascii="仿宋_GB2312" w:cs="仿宋_GB2312"/>
          <w:szCs w:val="32"/>
          <w:lang w:bidi="ar"/>
        </w:rPr>
        <w:t>日至</w:t>
      </w:r>
      <w:r>
        <w:rPr>
          <w:szCs w:val="32"/>
          <w:lang w:bidi="ar"/>
        </w:rPr>
        <w:t>2022</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日。符合条件的服务业市场主体可以享受。</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szCs w:val="32"/>
          <w:lang w:bidi="ar"/>
        </w:rPr>
        <w:t>4</w:t>
      </w:r>
      <w:r>
        <w:rPr>
          <w:rFonts w:ascii="仿宋_GB2312" w:cs="仿宋_GB2312"/>
          <w:szCs w:val="32"/>
          <w:lang w:bidi="ar"/>
        </w:rPr>
        <w:t>．进一步加大增值税留抵退税政策力度。向符合条件的小微企业以及科学研究和技术服务业等行业企业大规模退还增值税留抵税额。符合条件的服务业市场主体可以享受。</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szCs w:val="32"/>
          <w:lang w:bidi="ar"/>
        </w:rPr>
        <w:t>5</w:t>
      </w:r>
      <w:r>
        <w:rPr>
          <w:rFonts w:ascii="仿宋_GB2312" w:cs="仿宋_GB2312"/>
          <w:szCs w:val="32"/>
          <w:lang w:bidi="ar"/>
        </w:rPr>
        <w:t>．扩大</w:t>
      </w:r>
      <w:r>
        <w:rPr>
          <w:szCs w:val="32"/>
          <w:lang w:bidi="ar"/>
        </w:rPr>
        <w:t>“</w:t>
      </w:r>
      <w:r>
        <w:rPr>
          <w:rFonts w:ascii="仿宋_GB2312" w:cs="仿宋_GB2312"/>
          <w:szCs w:val="32"/>
          <w:lang w:bidi="ar"/>
        </w:rPr>
        <w:t>六税两费</w:t>
      </w:r>
      <w:r>
        <w:rPr>
          <w:szCs w:val="32"/>
          <w:lang w:bidi="ar"/>
        </w:rPr>
        <w:t>”</w:t>
      </w:r>
      <w:r>
        <w:rPr>
          <w:rFonts w:ascii="仿宋_GB2312" w:cs="仿宋_GB2312"/>
          <w:szCs w:val="32"/>
          <w:lang w:bidi="ar"/>
        </w:rPr>
        <w:t>适用范围。对增值税小规模纳税人、小型微利企业和个体工商户，按照</w:t>
      </w:r>
      <w:r>
        <w:rPr>
          <w:szCs w:val="32"/>
          <w:lang w:bidi="ar"/>
        </w:rPr>
        <w:t>50%</w:t>
      </w:r>
      <w:r>
        <w:rPr>
          <w:rFonts w:ascii="仿宋_GB2312" w:cs="仿宋_GB2312"/>
          <w:szCs w:val="32"/>
          <w:lang w:bidi="ar"/>
        </w:rPr>
        <w:t>幅度减征资源税、城市维护建设税、房产税、城镇土地使用税、印花税（不含证券交易印花税）、耕地占用税和教育费附加、地方教育附加。执行时间至</w:t>
      </w:r>
      <w:r>
        <w:rPr>
          <w:szCs w:val="32"/>
          <w:lang w:bidi="ar"/>
        </w:rPr>
        <w:t>2024</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日。符合条件的服务业市场主体可以享受。</w:t>
      </w:r>
      <w:r>
        <w:rPr>
          <w:rFonts w:ascii="楷体_GB2312" w:eastAsia="楷体_GB2312" w:cs="楷体_GB2312"/>
          <w:szCs w:val="32"/>
          <w:lang w:bidi="ar"/>
        </w:rPr>
        <w:t>（责任单位：省财政厅、省税务局）</w:t>
      </w:r>
    </w:p>
    <w:p>
      <w:pPr>
        <w:adjustRightInd w:val="0"/>
        <w:snapToGrid w:val="0"/>
        <w:spacing w:line="579" w:lineRule="exact"/>
        <w:ind w:firstLine="628" w:firstLineChars="200"/>
        <w:rPr>
          <w:szCs w:val="32"/>
        </w:rPr>
      </w:pPr>
      <w:r>
        <w:rPr>
          <w:szCs w:val="32"/>
          <w:lang w:bidi="ar"/>
        </w:rPr>
        <w:t>6</w:t>
      </w:r>
      <w:r>
        <w:rPr>
          <w:rFonts w:ascii="仿宋_GB2312" w:cs="仿宋_GB2312"/>
          <w:szCs w:val="32"/>
          <w:lang w:bidi="ar"/>
        </w:rPr>
        <w:t>．加大小型微利企业所得税优惠力度。对小型微利企业年应纳税所得额超过</w:t>
      </w:r>
      <w:r>
        <w:rPr>
          <w:szCs w:val="32"/>
          <w:lang w:bidi="ar"/>
        </w:rPr>
        <w:t>100</w:t>
      </w:r>
      <w:r>
        <w:rPr>
          <w:rFonts w:ascii="仿宋_GB2312" w:cs="仿宋_GB2312"/>
          <w:szCs w:val="32"/>
          <w:lang w:bidi="ar"/>
        </w:rPr>
        <w:t>万元但不超过</w:t>
      </w:r>
      <w:r>
        <w:rPr>
          <w:szCs w:val="32"/>
          <w:lang w:bidi="ar"/>
        </w:rPr>
        <w:t>300</w:t>
      </w:r>
      <w:r>
        <w:rPr>
          <w:rFonts w:ascii="仿宋_GB2312" w:cs="仿宋_GB2312"/>
          <w:szCs w:val="32"/>
          <w:lang w:bidi="ar"/>
        </w:rPr>
        <w:t>万元的部分，减按</w:t>
      </w:r>
      <w:r>
        <w:rPr>
          <w:szCs w:val="32"/>
          <w:lang w:bidi="ar"/>
        </w:rPr>
        <w:t>25%</w:t>
      </w:r>
      <w:r>
        <w:rPr>
          <w:rFonts w:ascii="仿宋_GB2312" w:cs="仿宋_GB2312"/>
          <w:szCs w:val="32"/>
          <w:lang w:bidi="ar"/>
        </w:rPr>
        <w:t>计入应纳税所得额，按</w:t>
      </w:r>
      <w:r>
        <w:rPr>
          <w:szCs w:val="32"/>
          <w:lang w:bidi="ar"/>
        </w:rPr>
        <w:t>20%</w:t>
      </w:r>
      <w:r>
        <w:rPr>
          <w:rFonts w:ascii="仿宋_GB2312" w:cs="仿宋_GB2312"/>
          <w:szCs w:val="32"/>
          <w:lang w:bidi="ar"/>
        </w:rPr>
        <w:t>的税率缴纳所得税。执行时间至</w:t>
      </w:r>
      <w:r>
        <w:rPr>
          <w:szCs w:val="32"/>
          <w:lang w:bidi="ar"/>
        </w:rPr>
        <w:t>2024</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日。符合条件的服务业市场主体可以享受。</w:t>
      </w:r>
      <w:r>
        <w:rPr>
          <w:rFonts w:ascii="楷体_GB2312" w:eastAsia="楷体_GB2312" w:cs="楷体_GB2312"/>
          <w:szCs w:val="32"/>
          <w:lang w:bidi="ar"/>
        </w:rPr>
        <w:t>（责任单位：省税务局）</w:t>
      </w:r>
    </w:p>
    <w:p>
      <w:pPr>
        <w:adjustRightInd w:val="0"/>
        <w:snapToGrid w:val="0"/>
        <w:spacing w:line="579" w:lineRule="exact"/>
        <w:ind w:firstLine="628" w:firstLineChars="200"/>
        <w:rPr>
          <w:szCs w:val="32"/>
        </w:rPr>
      </w:pPr>
      <w:r>
        <w:rPr>
          <w:szCs w:val="32"/>
          <w:lang w:bidi="ar"/>
        </w:rPr>
        <w:t>7</w:t>
      </w:r>
      <w:r>
        <w:rPr>
          <w:rFonts w:ascii="仿宋_GB2312" w:cs="仿宋_GB2312"/>
          <w:szCs w:val="32"/>
          <w:lang w:bidi="ar"/>
        </w:rPr>
        <w:t>．对服务业市场主体</w:t>
      </w:r>
      <w:r>
        <w:rPr>
          <w:szCs w:val="32"/>
          <w:lang w:bidi="ar"/>
        </w:rPr>
        <w:t>2022</w:t>
      </w:r>
      <w:r>
        <w:rPr>
          <w:rFonts w:ascii="仿宋_GB2312" w:cs="仿宋_GB2312"/>
          <w:szCs w:val="32"/>
          <w:lang w:bidi="ar"/>
        </w:rPr>
        <w:t>年缴纳房产税、城镇土地使用税确有困难的，鼓励各地根据本地实际，可依据其申请酌情给予减免房产税，并按规定实施城镇土地使用税差别化减免政策。</w:t>
      </w:r>
      <w:r>
        <w:rPr>
          <w:rFonts w:ascii="楷体_GB2312" w:eastAsia="楷体_GB2312" w:cs="楷体_GB2312"/>
          <w:szCs w:val="32"/>
          <w:lang w:bidi="ar"/>
        </w:rPr>
        <w:t>（责任单位：省税务局、省财政厅）</w:t>
      </w:r>
    </w:p>
    <w:p>
      <w:pPr>
        <w:adjustRightInd w:val="0"/>
        <w:snapToGrid w:val="0"/>
        <w:spacing w:line="579" w:lineRule="exact"/>
        <w:ind w:firstLine="628" w:firstLineChars="200"/>
        <w:rPr>
          <w:szCs w:val="32"/>
        </w:rPr>
      </w:pPr>
      <w:r>
        <w:rPr>
          <w:szCs w:val="32"/>
          <w:lang w:bidi="ar"/>
        </w:rPr>
        <w:t>8</w:t>
      </w:r>
      <w:r>
        <w:rPr>
          <w:rFonts w:ascii="仿宋_GB2312" w:cs="仿宋_GB2312"/>
          <w:szCs w:val="32"/>
          <w:lang w:bidi="ar"/>
        </w:rPr>
        <w:t>．</w:t>
      </w:r>
      <w:r>
        <w:rPr>
          <w:szCs w:val="32"/>
          <w:lang w:bidi="ar"/>
        </w:rPr>
        <w:t>2022</w:t>
      </w:r>
      <w:r>
        <w:rPr>
          <w:rFonts w:ascii="仿宋_GB2312" w:cs="仿宋_GB2312"/>
          <w:szCs w:val="32"/>
          <w:lang w:bidi="ar"/>
        </w:rPr>
        <w:t>年加大中小微企业设备器具税前扣除力度。中小微企业</w:t>
      </w:r>
      <w:r>
        <w:rPr>
          <w:szCs w:val="32"/>
          <w:lang w:bidi="ar"/>
        </w:rPr>
        <w:t>2022</w:t>
      </w:r>
      <w:r>
        <w:rPr>
          <w:rFonts w:ascii="仿宋_GB2312" w:cs="仿宋_GB2312"/>
          <w:szCs w:val="32"/>
          <w:lang w:bidi="ar"/>
        </w:rPr>
        <w:t>年度内新购置的单位价值</w:t>
      </w:r>
      <w:r>
        <w:rPr>
          <w:szCs w:val="32"/>
          <w:lang w:bidi="ar"/>
        </w:rPr>
        <w:t>500</w:t>
      </w:r>
      <w:r>
        <w:rPr>
          <w:rFonts w:ascii="仿宋_GB2312" w:cs="仿宋_GB2312"/>
          <w:szCs w:val="32"/>
          <w:lang w:bidi="ar"/>
        </w:rPr>
        <w:t>万元以上的设备器具，最低折旧年限为</w:t>
      </w:r>
      <w:r>
        <w:rPr>
          <w:szCs w:val="32"/>
          <w:lang w:bidi="ar"/>
        </w:rPr>
        <w:t>3</w:t>
      </w:r>
      <w:r>
        <w:rPr>
          <w:rFonts w:ascii="仿宋_GB2312" w:cs="仿宋_GB2312"/>
          <w:szCs w:val="32"/>
          <w:lang w:bidi="ar"/>
        </w:rPr>
        <w:t>年的，单位价值的</w:t>
      </w:r>
      <w:r>
        <w:rPr>
          <w:szCs w:val="32"/>
          <w:lang w:bidi="ar"/>
        </w:rPr>
        <w:t>100%</w:t>
      </w:r>
      <w:r>
        <w:rPr>
          <w:rFonts w:ascii="仿宋_GB2312" w:cs="仿宋_GB2312"/>
          <w:szCs w:val="32"/>
          <w:lang w:bidi="ar"/>
        </w:rPr>
        <w:t>可在当年一次性税前扣除；最低折旧年限为</w:t>
      </w:r>
      <w:r>
        <w:rPr>
          <w:szCs w:val="32"/>
          <w:lang w:bidi="ar"/>
        </w:rPr>
        <w:t>4</w:t>
      </w:r>
      <w:r>
        <w:rPr>
          <w:rFonts w:ascii="仿宋_GB2312" w:cs="仿宋_GB2312"/>
          <w:szCs w:val="32"/>
          <w:lang w:bidi="ar"/>
        </w:rPr>
        <w:t>年、</w:t>
      </w:r>
      <w:r>
        <w:rPr>
          <w:szCs w:val="32"/>
          <w:lang w:bidi="ar"/>
        </w:rPr>
        <w:t>5</w:t>
      </w:r>
      <w:r>
        <w:rPr>
          <w:rFonts w:ascii="仿宋_GB2312" w:cs="仿宋_GB2312"/>
          <w:szCs w:val="32"/>
          <w:lang w:bidi="ar"/>
        </w:rPr>
        <w:t>年、</w:t>
      </w:r>
      <w:r>
        <w:rPr>
          <w:szCs w:val="32"/>
          <w:lang w:bidi="ar"/>
        </w:rPr>
        <w:t>10</w:t>
      </w:r>
      <w:r>
        <w:rPr>
          <w:rFonts w:ascii="仿宋_GB2312" w:cs="仿宋_GB2312"/>
          <w:szCs w:val="32"/>
          <w:lang w:bidi="ar"/>
        </w:rPr>
        <w:t>年的，单位价值的</w:t>
      </w:r>
      <w:r>
        <w:rPr>
          <w:szCs w:val="32"/>
          <w:lang w:bidi="ar"/>
        </w:rPr>
        <w:t>50%</w:t>
      </w:r>
      <w:r>
        <w:rPr>
          <w:rFonts w:ascii="仿宋_GB2312" w:cs="仿宋_GB2312"/>
          <w:szCs w:val="32"/>
          <w:lang w:bidi="ar"/>
        </w:rPr>
        <w:t>可在当年一次性税前扣除，其余</w:t>
      </w:r>
      <w:r>
        <w:rPr>
          <w:szCs w:val="32"/>
          <w:lang w:bidi="ar"/>
        </w:rPr>
        <w:t>50%</w:t>
      </w:r>
      <w:r>
        <w:rPr>
          <w:rFonts w:ascii="仿宋_GB2312" w:cs="仿宋_GB2312"/>
          <w:szCs w:val="32"/>
          <w:lang w:bidi="ar"/>
        </w:rPr>
        <w:t>按规定在剩余年度计算折旧进行税前扣除。符合条件的服务业市场主体可以享受。</w:t>
      </w:r>
      <w:r>
        <w:rPr>
          <w:rFonts w:ascii="楷体_GB2312" w:eastAsia="楷体_GB2312" w:cs="楷体_GB2312"/>
          <w:szCs w:val="32"/>
          <w:lang w:bidi="ar"/>
        </w:rPr>
        <w:t>（责任单位：省税务局）</w:t>
      </w:r>
    </w:p>
    <w:p>
      <w:pPr>
        <w:adjustRightInd w:val="0"/>
        <w:snapToGrid w:val="0"/>
        <w:spacing w:line="579" w:lineRule="exact"/>
        <w:ind w:firstLine="628" w:firstLineChars="200"/>
        <w:rPr>
          <w:szCs w:val="32"/>
        </w:rPr>
      </w:pPr>
      <w:r>
        <w:rPr>
          <w:szCs w:val="32"/>
          <w:lang w:bidi="ar"/>
        </w:rPr>
        <w:t>9</w:t>
      </w:r>
      <w:r>
        <w:rPr>
          <w:rFonts w:ascii="仿宋_GB2312" w:cs="仿宋_GB2312"/>
          <w:szCs w:val="32"/>
          <w:lang w:bidi="ar"/>
        </w:rPr>
        <w:t>．</w:t>
      </w:r>
      <w:r>
        <w:rPr>
          <w:szCs w:val="32"/>
          <w:lang w:bidi="ar"/>
        </w:rPr>
        <w:t>2022</w:t>
      </w:r>
      <w:r>
        <w:rPr>
          <w:rFonts w:ascii="仿宋_GB2312" w:cs="仿宋_GB2312"/>
          <w:szCs w:val="32"/>
          <w:lang w:bidi="ar"/>
        </w:rPr>
        <w:t>年延续实施阶段性下调失业保险费率、工伤保险费率政策。对不裁员、少裁员的企业继续实施普惠性失业保险稳岗返还政策，其中</w:t>
      </w:r>
      <w:r>
        <w:rPr>
          <w:szCs w:val="32"/>
          <w:lang w:bidi="ar"/>
        </w:rPr>
        <w:t>2022</w:t>
      </w:r>
      <w:r>
        <w:rPr>
          <w:rFonts w:ascii="仿宋_GB2312" w:cs="仿宋_GB2312"/>
          <w:szCs w:val="32"/>
          <w:lang w:bidi="ar"/>
        </w:rPr>
        <w:t>年度中小微企业返还比例从</w:t>
      </w:r>
      <w:r>
        <w:rPr>
          <w:szCs w:val="32"/>
          <w:lang w:bidi="ar"/>
        </w:rPr>
        <w:t>60%</w:t>
      </w:r>
      <w:r>
        <w:rPr>
          <w:rFonts w:ascii="仿宋_GB2312" w:cs="仿宋_GB2312"/>
          <w:szCs w:val="32"/>
          <w:lang w:bidi="ar"/>
        </w:rPr>
        <w:t>提高到</w:t>
      </w:r>
      <w:r>
        <w:rPr>
          <w:szCs w:val="32"/>
          <w:lang w:bidi="ar"/>
        </w:rPr>
        <w:t>90%</w:t>
      </w:r>
      <w:r>
        <w:rPr>
          <w:rFonts w:ascii="仿宋_GB2312" w:cs="仿宋_GB2312"/>
          <w:szCs w:val="32"/>
          <w:lang w:bidi="ar"/>
        </w:rPr>
        <w:t>。符合条件的服务业市场主体可以享受。</w:t>
      </w:r>
      <w:r>
        <w:rPr>
          <w:rFonts w:ascii="楷体_GB2312" w:eastAsia="楷体_GB2312" w:cs="楷体_GB2312"/>
          <w:szCs w:val="32"/>
          <w:lang w:bidi="ar"/>
        </w:rPr>
        <w:t>（责任单位：省人力社保厅、省财政厅、省税务局）</w:t>
      </w:r>
    </w:p>
    <w:p>
      <w:pPr>
        <w:adjustRightInd w:val="0"/>
        <w:snapToGrid w:val="0"/>
        <w:spacing w:line="579" w:lineRule="exact"/>
        <w:ind w:firstLine="628" w:firstLineChars="200"/>
        <w:rPr>
          <w:rFonts w:eastAsia="楷体_GB2312"/>
          <w:szCs w:val="32"/>
        </w:rPr>
      </w:pPr>
      <w:r>
        <w:rPr>
          <w:szCs w:val="32"/>
          <w:lang w:bidi="ar"/>
        </w:rPr>
        <w:t>10</w:t>
      </w:r>
      <w:r>
        <w:rPr>
          <w:rFonts w:ascii="仿宋_GB2312" w:cs="仿宋_GB2312"/>
          <w:szCs w:val="32"/>
          <w:lang w:bidi="ar"/>
        </w:rPr>
        <w:t>．减免受疫情影响地区市场主体租金。</w:t>
      </w:r>
      <w:r>
        <w:rPr>
          <w:szCs w:val="32"/>
          <w:lang w:bidi="ar"/>
        </w:rPr>
        <w:t>2022</w:t>
      </w:r>
      <w:r>
        <w:rPr>
          <w:rFonts w:ascii="仿宋_GB2312" w:cs="仿宋_GB2312"/>
          <w:szCs w:val="32"/>
          <w:lang w:bidi="ar"/>
        </w:rPr>
        <w:t>年被列为疫情中高风险地区所在的县级行政区域内的服务业小微企业和个体工商户承租国有房屋，</w:t>
      </w:r>
      <w:r>
        <w:rPr>
          <w:szCs w:val="32"/>
          <w:lang w:bidi="ar"/>
        </w:rPr>
        <w:t>2022</w:t>
      </w:r>
      <w:r>
        <w:rPr>
          <w:rFonts w:ascii="仿宋_GB2312" w:cs="仿宋_GB2312"/>
          <w:szCs w:val="32"/>
          <w:lang w:bidi="ar"/>
        </w:rPr>
        <w:t>年减免</w:t>
      </w:r>
      <w:r>
        <w:rPr>
          <w:szCs w:val="32"/>
          <w:lang w:bidi="ar"/>
        </w:rPr>
        <w:t>6</w:t>
      </w:r>
      <w:r>
        <w:rPr>
          <w:rFonts w:ascii="仿宋_GB2312" w:cs="仿宋_GB2312"/>
          <w:szCs w:val="32"/>
          <w:lang w:bidi="ar"/>
        </w:rPr>
        <w:t>个月租金，其他地区减免</w:t>
      </w:r>
      <w:r>
        <w:rPr>
          <w:szCs w:val="32"/>
          <w:lang w:bidi="ar"/>
        </w:rPr>
        <w:t>3</w:t>
      </w:r>
      <w:r>
        <w:rPr>
          <w:rFonts w:ascii="仿宋_GB2312" w:cs="仿宋_GB2312"/>
          <w:szCs w:val="32"/>
          <w:lang w:bidi="ar"/>
        </w:rPr>
        <w:t>个月租金。因本次减免房租对企业经营业绩产生较大影响的，经本级国资监管机构核准后，在经营业绩考核中可纳入特殊事项管理范围。鼓励非国有房屋租赁主体在平等协商的基础上合理分担疫情带来的损失。各地可统筹各类资金，对承租非国有房屋的服务业小微企业和个体工商户给予适当帮扶。对减免租金的房屋业主，</w:t>
      </w:r>
      <w:r>
        <w:rPr>
          <w:szCs w:val="32"/>
          <w:lang w:bidi="ar"/>
        </w:rPr>
        <w:t>2022</w:t>
      </w:r>
      <w:r>
        <w:rPr>
          <w:rFonts w:ascii="仿宋_GB2312" w:cs="仿宋_GB2312"/>
          <w:szCs w:val="32"/>
          <w:lang w:bidi="ar"/>
        </w:rPr>
        <w:t>年缴纳房产税、城镇土地使用税确有困难的，可按第</w:t>
      </w:r>
      <w:r>
        <w:rPr>
          <w:szCs w:val="32"/>
          <w:lang w:bidi="ar"/>
        </w:rPr>
        <w:t>7</w:t>
      </w:r>
      <w:r>
        <w:rPr>
          <w:rFonts w:ascii="仿宋_GB2312" w:cs="仿宋_GB2312"/>
          <w:szCs w:val="32"/>
          <w:lang w:bidi="ar"/>
        </w:rPr>
        <w:t>条执行。</w:t>
      </w:r>
      <w:r>
        <w:rPr>
          <w:rFonts w:ascii="楷体_GB2312" w:eastAsia="楷体_GB2312" w:cs="楷体_GB2312"/>
          <w:szCs w:val="32"/>
          <w:lang w:bidi="ar"/>
        </w:rPr>
        <w:t>（责任单位：省国资委、省财政厅、省市场监管局，各市、县〔市、区〕政府）</w:t>
      </w:r>
    </w:p>
    <w:p>
      <w:pPr>
        <w:adjustRightInd w:val="0"/>
        <w:snapToGrid w:val="0"/>
        <w:spacing w:line="579" w:lineRule="exact"/>
        <w:ind w:firstLine="628" w:firstLineChars="200"/>
        <w:rPr>
          <w:rFonts w:eastAsia="楷体_GB2312"/>
          <w:szCs w:val="32"/>
        </w:rPr>
      </w:pPr>
      <w:r>
        <w:rPr>
          <w:szCs w:val="32"/>
          <w:lang w:bidi="ar"/>
        </w:rPr>
        <w:t>11</w:t>
      </w:r>
      <w:r>
        <w:rPr>
          <w:rFonts w:ascii="仿宋_GB2312" w:cs="仿宋_GB2312"/>
          <w:szCs w:val="32"/>
          <w:lang w:bidi="ar"/>
        </w:rPr>
        <w:t>．降低企业用能成本。对全省用电设备容量在</w:t>
      </w:r>
      <w:r>
        <w:rPr>
          <w:szCs w:val="32"/>
          <w:lang w:bidi="ar"/>
        </w:rPr>
        <w:t>160</w:t>
      </w:r>
      <w:r>
        <w:rPr>
          <w:rFonts w:ascii="仿宋_GB2312" w:cs="仿宋_GB2312"/>
          <w:szCs w:val="32"/>
          <w:lang w:bidi="ar"/>
        </w:rPr>
        <w:t>千瓦以下的中小企业采取低压方式接入电网，计量装置及以上工程由供电企业投资建设。鼓励不满</w:t>
      </w:r>
      <w:r>
        <w:rPr>
          <w:szCs w:val="32"/>
          <w:lang w:bidi="ar"/>
        </w:rPr>
        <w:t>1</w:t>
      </w:r>
      <w:r>
        <w:rPr>
          <w:rFonts w:ascii="仿宋_GB2312" w:cs="仿宋_GB2312"/>
          <w:szCs w:val="32"/>
          <w:lang w:bidi="ar"/>
        </w:rPr>
        <w:t>千伏用电电压等级的工商业用户直接参与市场交易，未直接参与市场交易的由电网企业代理购电。电压等级不满</w:t>
      </w:r>
      <w:r>
        <w:rPr>
          <w:szCs w:val="32"/>
          <w:lang w:bidi="ar"/>
        </w:rPr>
        <w:t>1</w:t>
      </w:r>
      <w:r>
        <w:rPr>
          <w:rFonts w:ascii="仿宋_GB2312" w:cs="仿宋_GB2312"/>
          <w:szCs w:val="32"/>
          <w:lang w:bidi="ar"/>
        </w:rPr>
        <w:t>千伏工商业用户，现货市场运行时，不承担辅助服务、成本补偿等市场分摊费用。执行时间至</w:t>
      </w:r>
      <w:r>
        <w:rPr>
          <w:szCs w:val="32"/>
          <w:lang w:bidi="ar"/>
        </w:rPr>
        <w:t>2023</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w:t>
      </w:r>
      <w:r>
        <w:rPr>
          <w:rFonts w:ascii="楷体_GB2312" w:eastAsia="楷体_GB2312" w:cs="楷体_GB2312"/>
          <w:szCs w:val="32"/>
          <w:lang w:bidi="ar"/>
        </w:rPr>
        <w:t>（责任单位：省发展改革委、省能源局、省电力公司，各市、县〔市、区〕政府）</w:t>
      </w:r>
    </w:p>
    <w:p>
      <w:pPr>
        <w:adjustRightInd w:val="0"/>
        <w:snapToGrid w:val="0"/>
        <w:spacing w:line="579" w:lineRule="exact"/>
        <w:ind w:firstLine="628" w:firstLineChars="200"/>
        <w:rPr>
          <w:szCs w:val="32"/>
        </w:rPr>
      </w:pPr>
      <w:r>
        <w:rPr>
          <w:szCs w:val="32"/>
          <w:lang w:bidi="ar"/>
        </w:rPr>
        <w:t>12</w:t>
      </w:r>
      <w:r>
        <w:rPr>
          <w:rFonts w:ascii="仿宋_GB2312" w:cs="仿宋_GB2312"/>
          <w:szCs w:val="32"/>
          <w:lang w:bidi="ar"/>
        </w:rPr>
        <w:t>．发挥好央行政策性低息资金支持作用。引导银行用好降准释放资金，以及贷款市场报价利率（</w:t>
      </w:r>
      <w:r>
        <w:rPr>
          <w:szCs w:val="32"/>
          <w:lang w:bidi="ar"/>
        </w:rPr>
        <w:t>LPR</w:t>
      </w:r>
      <w:r>
        <w:rPr>
          <w:rFonts w:ascii="仿宋_GB2312" w:cs="仿宋_GB2312"/>
          <w:szCs w:val="32"/>
          <w:lang w:bidi="ar"/>
        </w:rPr>
        <w:t>）下行、支农支小再贷款利率下调等政策，用好支农支小再贷款政策工具，深化</w:t>
      </w:r>
      <w:r>
        <w:rPr>
          <w:szCs w:val="32"/>
          <w:lang w:bidi="ar"/>
        </w:rPr>
        <w:t>“</w:t>
      </w:r>
      <w:r>
        <w:rPr>
          <w:rFonts w:ascii="仿宋_GB2312" w:cs="仿宋_GB2312"/>
          <w:szCs w:val="32"/>
          <w:lang w:bidi="ar"/>
        </w:rPr>
        <w:t>央行浙里贷</w:t>
      </w:r>
      <w:r>
        <w:rPr>
          <w:szCs w:val="32"/>
          <w:lang w:bidi="ar"/>
        </w:rPr>
        <w:t>”</w:t>
      </w:r>
      <w:r>
        <w:rPr>
          <w:rFonts w:ascii="仿宋_GB2312" w:cs="仿宋_GB2312"/>
          <w:szCs w:val="32"/>
          <w:lang w:bidi="ar"/>
        </w:rPr>
        <w:t>应用，不断提升央行资金直达性、精准性，优先支持困难行业特别是服务业小微企业和民营企业。</w:t>
      </w:r>
      <w:r>
        <w:rPr>
          <w:rFonts w:ascii="楷体_GB2312" w:eastAsia="楷体_GB2312" w:cs="楷体_GB2312"/>
          <w:szCs w:val="32"/>
          <w:lang w:bidi="ar"/>
        </w:rPr>
        <w:t>（责任单位：人行杭州中心支行）</w:t>
      </w:r>
    </w:p>
    <w:p>
      <w:pPr>
        <w:adjustRightInd w:val="0"/>
        <w:snapToGrid w:val="0"/>
        <w:spacing w:line="579" w:lineRule="exact"/>
        <w:ind w:firstLine="628" w:firstLineChars="200"/>
        <w:rPr>
          <w:rFonts w:eastAsia="楷体_GB2312"/>
          <w:szCs w:val="32"/>
        </w:rPr>
      </w:pPr>
      <w:r>
        <w:rPr>
          <w:szCs w:val="32"/>
          <w:lang w:bidi="ar"/>
        </w:rPr>
        <w:t>13</w:t>
      </w:r>
      <w:r>
        <w:rPr>
          <w:rFonts w:ascii="仿宋_GB2312" w:cs="仿宋_GB2312"/>
          <w:szCs w:val="32"/>
          <w:lang w:bidi="ar"/>
        </w:rPr>
        <w:t>．推动银企精准高效对接。用好省金融综合服务平台、省企业信用信息服务平台、推动融资供需精准对接，提高企业融资便利度和可得性，大力推广</w:t>
      </w:r>
      <w:r>
        <w:rPr>
          <w:szCs w:val="32"/>
          <w:lang w:bidi="ar"/>
        </w:rPr>
        <w:t>“</w:t>
      </w:r>
      <w:r>
        <w:rPr>
          <w:rFonts w:ascii="仿宋_GB2312" w:cs="仿宋_GB2312"/>
          <w:szCs w:val="32"/>
          <w:lang w:bidi="ar"/>
        </w:rPr>
        <w:t>企业码</w:t>
      </w:r>
      <w:r>
        <w:rPr>
          <w:szCs w:val="32"/>
          <w:lang w:bidi="ar"/>
        </w:rPr>
        <w:t>”“</w:t>
      </w:r>
      <w:r>
        <w:rPr>
          <w:rFonts w:ascii="仿宋_GB2312" w:cs="仿宋_GB2312"/>
          <w:szCs w:val="32"/>
          <w:lang w:bidi="ar"/>
        </w:rPr>
        <w:t>贷款码</w:t>
      </w:r>
      <w:r>
        <w:rPr>
          <w:szCs w:val="32"/>
          <w:lang w:bidi="ar"/>
        </w:rPr>
        <w:t>”</w:t>
      </w:r>
      <w:r>
        <w:rPr>
          <w:rFonts w:ascii="仿宋_GB2312" w:cs="仿宋_GB2312"/>
          <w:szCs w:val="32"/>
          <w:lang w:bidi="ar"/>
        </w:rPr>
        <w:t>。推广</w:t>
      </w:r>
      <w:r>
        <w:rPr>
          <w:szCs w:val="32"/>
          <w:lang w:bidi="ar"/>
        </w:rPr>
        <w:t>“</w:t>
      </w:r>
      <w:r>
        <w:rPr>
          <w:rFonts w:ascii="仿宋_GB2312" w:cs="仿宋_GB2312"/>
          <w:szCs w:val="32"/>
          <w:lang w:bidi="ar"/>
        </w:rPr>
        <w:t>信易贷</w:t>
      </w:r>
      <w:r>
        <w:rPr>
          <w:szCs w:val="32"/>
          <w:lang w:bidi="ar"/>
        </w:rPr>
        <w:t>”</w:t>
      </w:r>
      <w:r>
        <w:rPr>
          <w:rFonts w:ascii="仿宋_GB2312" w:cs="仿宋_GB2312"/>
          <w:szCs w:val="32"/>
          <w:lang w:bidi="ar"/>
        </w:rPr>
        <w:t>平台，打造</w:t>
      </w:r>
      <w:r>
        <w:rPr>
          <w:szCs w:val="32"/>
          <w:lang w:bidi="ar"/>
        </w:rPr>
        <w:t>“</w:t>
      </w:r>
      <w:r>
        <w:rPr>
          <w:rFonts w:ascii="仿宋_GB2312" w:cs="仿宋_GB2312"/>
          <w:szCs w:val="32"/>
          <w:lang w:bidi="ar"/>
        </w:rPr>
        <w:t>浙江小微增信服务平台</w:t>
      </w:r>
      <w:r>
        <w:rPr>
          <w:szCs w:val="32"/>
          <w:lang w:bidi="ar"/>
        </w:rPr>
        <w:t>”</w:t>
      </w:r>
      <w:r>
        <w:rPr>
          <w:rFonts w:ascii="仿宋_GB2312" w:cs="仿宋_GB2312"/>
          <w:szCs w:val="32"/>
          <w:lang w:bidi="ar"/>
        </w:rPr>
        <w:t>，探索银企融资对接新模式。深化联合会商帮扶机制，扩大企业范围并实施清单制管理。</w:t>
      </w:r>
      <w:r>
        <w:rPr>
          <w:rFonts w:ascii="楷体_GB2312" w:eastAsia="楷体_GB2312" w:cs="楷体_GB2312"/>
          <w:szCs w:val="32"/>
          <w:lang w:bidi="ar"/>
        </w:rPr>
        <w:t>（责任单位：人行杭州中心支行、省发展改革委、省市场监管局、省地方金融监管局、浙江银保监局）</w:t>
      </w:r>
    </w:p>
    <w:p>
      <w:pPr>
        <w:adjustRightInd w:val="0"/>
        <w:snapToGrid w:val="0"/>
        <w:spacing w:line="579" w:lineRule="exact"/>
        <w:ind w:firstLine="628" w:firstLineChars="200"/>
        <w:rPr>
          <w:szCs w:val="32"/>
        </w:rPr>
      </w:pPr>
      <w:r>
        <w:rPr>
          <w:szCs w:val="32"/>
          <w:lang w:bidi="ar"/>
        </w:rPr>
        <w:t>14</w:t>
      </w:r>
      <w:r>
        <w:rPr>
          <w:rFonts w:ascii="仿宋_GB2312" w:cs="仿宋_GB2312"/>
          <w:szCs w:val="32"/>
          <w:lang w:bidi="ar"/>
        </w:rPr>
        <w:t>．提升普惠小微金融服务。组织地方法人银行按规定向人民银行申请普惠小微贷款余额增量的</w:t>
      </w:r>
      <w:r>
        <w:rPr>
          <w:szCs w:val="32"/>
          <w:lang w:bidi="ar"/>
        </w:rPr>
        <w:t>1%</w:t>
      </w:r>
      <w:r>
        <w:rPr>
          <w:rFonts w:ascii="仿宋_GB2312" w:cs="仿宋_GB2312"/>
          <w:szCs w:val="32"/>
          <w:lang w:bidi="ar"/>
        </w:rPr>
        <w:t>的激励资金支持，引导金融机构加大对困难行业特别是服务业领域的倾斜力度。督促指导银行机构落实小微企业金融服务授权、授信、尽职免责</w:t>
      </w:r>
      <w:r>
        <w:rPr>
          <w:szCs w:val="32"/>
          <w:lang w:bidi="ar"/>
        </w:rPr>
        <w:t>“</w:t>
      </w:r>
      <w:r>
        <w:rPr>
          <w:rFonts w:ascii="仿宋_GB2312" w:cs="仿宋_GB2312"/>
          <w:szCs w:val="32"/>
          <w:lang w:bidi="ar"/>
        </w:rPr>
        <w:t>三张清单</w:t>
      </w:r>
      <w:r>
        <w:rPr>
          <w:szCs w:val="32"/>
          <w:lang w:bidi="ar"/>
        </w:rPr>
        <w:t>”</w:t>
      </w:r>
      <w:r>
        <w:rPr>
          <w:rFonts w:ascii="仿宋_GB2312" w:cs="仿宋_GB2312"/>
          <w:szCs w:val="32"/>
          <w:lang w:bidi="ar"/>
        </w:rPr>
        <w:t>机制，加大服务业小微企业首贷和信用贷款投放，提高小微企业融资可得性和覆盖面。深化</w:t>
      </w:r>
      <w:r>
        <w:rPr>
          <w:szCs w:val="32"/>
          <w:lang w:bidi="ar"/>
        </w:rPr>
        <w:t>“4+1”</w:t>
      </w:r>
      <w:r>
        <w:rPr>
          <w:rFonts w:ascii="仿宋_GB2312" w:cs="仿宋_GB2312"/>
          <w:szCs w:val="32"/>
          <w:lang w:bidi="ar"/>
        </w:rPr>
        <w:t>小微金融服务差异化细分工作，继续落实普惠型小微企业贷款</w:t>
      </w:r>
      <w:r>
        <w:rPr>
          <w:szCs w:val="32"/>
          <w:lang w:bidi="ar"/>
        </w:rPr>
        <w:t>“</w:t>
      </w:r>
      <w:r>
        <w:rPr>
          <w:rFonts w:ascii="仿宋_GB2312" w:cs="仿宋_GB2312"/>
          <w:szCs w:val="32"/>
          <w:lang w:bidi="ar"/>
        </w:rPr>
        <w:t>两增</w:t>
      </w:r>
      <w:r>
        <w:rPr>
          <w:szCs w:val="32"/>
          <w:lang w:bidi="ar"/>
        </w:rPr>
        <w:t>”</w:t>
      </w:r>
      <w:r>
        <w:rPr>
          <w:rFonts w:ascii="仿宋_GB2312" w:cs="仿宋_GB2312"/>
          <w:szCs w:val="32"/>
          <w:lang w:bidi="ar"/>
        </w:rPr>
        <w:t>考核目标。合理拓宽个体工商户服务边界，提高个体工商户金融服务的可获得性和满意度。</w:t>
      </w:r>
      <w:r>
        <w:rPr>
          <w:rFonts w:ascii="楷体_GB2312" w:eastAsia="楷体_GB2312" w:cs="楷体_GB2312"/>
          <w:szCs w:val="32"/>
          <w:lang w:bidi="ar"/>
        </w:rPr>
        <w:t>（责任单位：人行杭州中心支行、浙江银保监局、省市场监管局）</w:t>
      </w:r>
    </w:p>
    <w:p>
      <w:pPr>
        <w:adjustRightInd w:val="0"/>
        <w:snapToGrid w:val="0"/>
        <w:spacing w:line="579" w:lineRule="exact"/>
        <w:ind w:firstLine="628" w:firstLineChars="200"/>
        <w:rPr>
          <w:rFonts w:eastAsia="楷体_GB2312"/>
          <w:szCs w:val="32"/>
        </w:rPr>
      </w:pPr>
      <w:r>
        <w:rPr>
          <w:szCs w:val="32"/>
          <w:lang w:bidi="ar"/>
        </w:rPr>
        <w:t>15</w:t>
      </w:r>
      <w:r>
        <w:rPr>
          <w:rFonts w:ascii="仿宋_GB2312" w:cs="仿宋_GB2312"/>
          <w:szCs w:val="32"/>
          <w:lang w:bidi="ar"/>
        </w:rPr>
        <w:t>．稳定信贷预期。鼓励金融机构对符合续贷条件的服务业市场主体按正常续贷业务办理，不得盲目惜贷、抽贷、断贷、压贷，保持合理流动性。推进</w:t>
      </w:r>
      <w:r>
        <w:rPr>
          <w:szCs w:val="32"/>
          <w:lang w:bidi="ar"/>
        </w:rPr>
        <w:t>“</w:t>
      </w:r>
      <w:r>
        <w:rPr>
          <w:rFonts w:ascii="仿宋_GB2312" w:cs="仿宋_GB2312"/>
          <w:szCs w:val="32"/>
          <w:lang w:bidi="ar"/>
        </w:rPr>
        <w:t>连续贷</w:t>
      </w:r>
      <w:r>
        <w:rPr>
          <w:szCs w:val="32"/>
          <w:lang w:bidi="ar"/>
        </w:rPr>
        <w:t>+</w:t>
      </w:r>
      <w:r>
        <w:rPr>
          <w:rFonts w:ascii="仿宋_GB2312" w:cs="仿宋_GB2312"/>
          <w:szCs w:val="32"/>
          <w:lang w:bidi="ar"/>
        </w:rPr>
        <w:t>灵活贷</w:t>
      </w:r>
      <w:r>
        <w:rPr>
          <w:szCs w:val="32"/>
          <w:lang w:bidi="ar"/>
        </w:rPr>
        <w:t>”</w:t>
      </w:r>
      <w:r>
        <w:rPr>
          <w:rFonts w:ascii="仿宋_GB2312" w:cs="仿宋_GB2312"/>
          <w:szCs w:val="32"/>
          <w:lang w:bidi="ar"/>
        </w:rPr>
        <w:t>机制创新，围绕提升信贷稳定性和匹配度，大力推广年审制、随借随还等贷款创新。迭代升级</w:t>
      </w:r>
      <w:r>
        <w:rPr>
          <w:szCs w:val="32"/>
          <w:lang w:bidi="ar"/>
        </w:rPr>
        <w:t>“</w:t>
      </w:r>
      <w:r>
        <w:rPr>
          <w:rFonts w:ascii="仿宋_GB2312" w:cs="仿宋_GB2312"/>
          <w:szCs w:val="32"/>
          <w:lang w:bidi="ar"/>
        </w:rPr>
        <w:t>双保</w:t>
      </w:r>
      <w:r>
        <w:rPr>
          <w:szCs w:val="32"/>
          <w:lang w:bidi="ar"/>
        </w:rPr>
        <w:t>”</w:t>
      </w:r>
      <w:r>
        <w:rPr>
          <w:rFonts w:ascii="仿宋_GB2312" w:cs="仿宋_GB2312"/>
          <w:szCs w:val="32"/>
          <w:lang w:bidi="ar"/>
        </w:rPr>
        <w:t>（保就业、保市场主体）应急融资机制，对发展前景良好但缺乏资金的服务业中小企业，给予增量贷款支持。</w:t>
      </w:r>
      <w:r>
        <w:rPr>
          <w:rFonts w:ascii="楷体_GB2312" w:eastAsia="楷体_GB2312" w:cs="楷体_GB2312"/>
          <w:szCs w:val="32"/>
          <w:lang w:bidi="ar"/>
        </w:rPr>
        <w:t>（责任单位：人行杭州中心支行、浙江银保监局）</w:t>
      </w:r>
    </w:p>
    <w:p>
      <w:pPr>
        <w:adjustRightInd w:val="0"/>
        <w:snapToGrid w:val="0"/>
        <w:spacing w:line="579" w:lineRule="exact"/>
        <w:ind w:firstLine="628" w:firstLineChars="200"/>
        <w:rPr>
          <w:rFonts w:eastAsia="楷体_GB2312"/>
          <w:szCs w:val="32"/>
        </w:rPr>
      </w:pPr>
      <w:r>
        <w:rPr>
          <w:szCs w:val="32"/>
          <w:lang w:bidi="ar"/>
        </w:rPr>
        <w:t>16</w:t>
      </w:r>
      <w:r>
        <w:rPr>
          <w:rFonts w:ascii="仿宋_GB2312" w:cs="仿宋_GB2312"/>
          <w:szCs w:val="32"/>
          <w:lang w:bidi="ar"/>
        </w:rPr>
        <w:t>．降低支付服务手续费。指导、督促银行机构、支付机构落实小微企业和个体工商户支付手续费降费政策，降低服务业市场主体经营成本。</w:t>
      </w:r>
      <w:r>
        <w:rPr>
          <w:rFonts w:ascii="楷体_GB2312" w:eastAsia="楷体_GB2312" w:cs="楷体_GB2312"/>
          <w:szCs w:val="32"/>
          <w:lang w:bidi="ar"/>
        </w:rPr>
        <w:t>（责任单位：人行杭州中心支行、浙江银保监局）</w:t>
      </w:r>
    </w:p>
    <w:p>
      <w:pPr>
        <w:adjustRightInd w:val="0"/>
        <w:snapToGrid w:val="0"/>
        <w:spacing w:line="579" w:lineRule="exact"/>
        <w:ind w:firstLine="628" w:firstLineChars="200"/>
        <w:rPr>
          <w:rFonts w:eastAsia="楷体_GB2312"/>
          <w:szCs w:val="32"/>
        </w:rPr>
      </w:pPr>
      <w:r>
        <w:rPr>
          <w:szCs w:val="32"/>
          <w:lang w:bidi="ar"/>
        </w:rPr>
        <w:t>17</w:t>
      </w:r>
      <w:r>
        <w:rPr>
          <w:rFonts w:ascii="仿宋_GB2312" w:cs="仿宋_GB2312"/>
          <w:szCs w:val="32"/>
          <w:lang w:bidi="ar"/>
        </w:rPr>
        <w:t>．加大政府性融资担保支持力度。鼓励政府性融资担保机构为符合条件的服务业小微企业提供融资增信支持，平均担保费率保持在</w:t>
      </w:r>
      <w:r>
        <w:rPr>
          <w:szCs w:val="32"/>
          <w:lang w:bidi="ar"/>
        </w:rPr>
        <w:t>1%</w:t>
      </w:r>
      <w:r>
        <w:rPr>
          <w:rFonts w:ascii="仿宋_GB2312" w:cs="仿宋_GB2312"/>
          <w:szCs w:val="32"/>
          <w:lang w:bidi="ar"/>
        </w:rPr>
        <w:t>以下，依法依约及时履行代偿责任，积极帮助受疫情影响企业续保续贷。支持有条件的地方加大对政府性融资担保机构的保费补贴、风险补偿、资本金补充等。</w:t>
      </w:r>
      <w:r>
        <w:rPr>
          <w:rFonts w:ascii="楷体_GB2312" w:eastAsia="楷体_GB2312" w:cs="楷体_GB2312"/>
          <w:szCs w:val="32"/>
          <w:lang w:bidi="ar"/>
        </w:rPr>
        <w:t>（责任单位：省地方金融监管局、省财政厅，各市、县〔市、区〕政府）</w:t>
      </w:r>
    </w:p>
    <w:p>
      <w:pPr>
        <w:adjustRightInd w:val="0"/>
        <w:snapToGrid w:val="0"/>
        <w:spacing w:line="579" w:lineRule="exact"/>
        <w:ind w:firstLine="628" w:firstLineChars="200"/>
        <w:rPr>
          <w:rFonts w:eastAsia="楷体_GB2312"/>
          <w:szCs w:val="32"/>
        </w:rPr>
      </w:pPr>
      <w:r>
        <w:rPr>
          <w:szCs w:val="32"/>
          <w:lang w:bidi="ar"/>
        </w:rPr>
        <w:t>18</w:t>
      </w:r>
      <w:r>
        <w:rPr>
          <w:rFonts w:ascii="仿宋_GB2312" w:cs="仿宋_GB2312"/>
          <w:szCs w:val="32"/>
          <w:lang w:bidi="ar"/>
        </w:rPr>
        <w:t>．鼓励保险机构优化产业和服务，探索面向服务业新产业、新业态和灵活就业人员推出专属保险保障，充分发挥保险</w:t>
      </w:r>
      <w:r>
        <w:rPr>
          <w:szCs w:val="32"/>
          <w:lang w:bidi="ar"/>
        </w:rPr>
        <w:t>“</w:t>
      </w:r>
      <w:r>
        <w:rPr>
          <w:rFonts w:ascii="仿宋_GB2312" w:cs="仿宋_GB2312"/>
          <w:szCs w:val="32"/>
          <w:lang w:bidi="ar"/>
        </w:rPr>
        <w:t>稳定器</w:t>
      </w:r>
      <w:r>
        <w:rPr>
          <w:szCs w:val="32"/>
          <w:lang w:bidi="ar"/>
        </w:rPr>
        <w:t>”</w:t>
      </w:r>
      <w:r>
        <w:rPr>
          <w:rFonts w:ascii="仿宋_GB2312" w:cs="仿宋_GB2312"/>
          <w:szCs w:val="32"/>
          <w:lang w:bidi="ar"/>
        </w:rPr>
        <w:t>作用。</w:t>
      </w:r>
      <w:r>
        <w:rPr>
          <w:rFonts w:ascii="楷体_GB2312" w:eastAsia="楷体_GB2312" w:cs="楷体_GB2312"/>
          <w:szCs w:val="32"/>
          <w:lang w:bidi="ar"/>
        </w:rPr>
        <w:t>（责任单位：浙江银保监局）</w:t>
      </w:r>
    </w:p>
    <w:p>
      <w:pPr>
        <w:adjustRightInd w:val="0"/>
        <w:snapToGrid w:val="0"/>
        <w:spacing w:line="579" w:lineRule="exact"/>
        <w:ind w:firstLine="628" w:firstLineChars="200"/>
        <w:rPr>
          <w:rFonts w:eastAsia="楷体_GB2312"/>
          <w:szCs w:val="32"/>
        </w:rPr>
      </w:pPr>
      <w:r>
        <w:rPr>
          <w:szCs w:val="32"/>
          <w:lang w:bidi="ar"/>
        </w:rPr>
        <w:t>19</w:t>
      </w:r>
      <w:r>
        <w:rPr>
          <w:rFonts w:ascii="仿宋_GB2312" w:cs="仿宋_GB2312"/>
          <w:szCs w:val="32"/>
          <w:lang w:bidi="ar"/>
        </w:rPr>
        <w:t>．鼓励各市、县（市、区）设立或统筹安排中小企业纾困资金，为餐饮、零售、文旅等服务业中小微企业和存在困难的新能源出租车、城市公交运营提供针对性纾困支持。</w:t>
      </w:r>
      <w:r>
        <w:rPr>
          <w:rFonts w:ascii="楷体_GB2312" w:eastAsia="楷体_GB2312" w:cs="楷体_GB2312"/>
          <w:szCs w:val="32"/>
          <w:lang w:bidi="ar"/>
        </w:rPr>
        <w:t>（责任单位：省经信厅、省财政厅、省地方金融监管局、人行杭州中心支行、浙江银保监局，各市、县〔市、区〕政府）</w:t>
      </w:r>
    </w:p>
    <w:p>
      <w:pPr>
        <w:adjustRightInd w:val="0"/>
        <w:snapToGrid w:val="0"/>
        <w:spacing w:line="579" w:lineRule="exact"/>
        <w:ind w:firstLine="628" w:firstLineChars="200"/>
        <w:rPr>
          <w:rFonts w:eastAsia="楷体_GB2312"/>
          <w:szCs w:val="32"/>
        </w:rPr>
      </w:pPr>
      <w:r>
        <w:rPr>
          <w:szCs w:val="32"/>
          <w:lang w:bidi="ar"/>
        </w:rPr>
        <w:t>20</w:t>
      </w:r>
      <w:r>
        <w:rPr>
          <w:rFonts w:ascii="仿宋_GB2312" w:cs="仿宋_GB2312"/>
          <w:szCs w:val="32"/>
          <w:lang w:bidi="ar"/>
        </w:rPr>
        <w:t>．研究实施乱收费、乱摊派、乱罚款专项整治行动，有效规范涉企收费行为，完善整治涉企乱收费协同治理和联合惩戒机制，防止对服务业的各项助企纾困政策效果被</w:t>
      </w:r>
      <w:r>
        <w:rPr>
          <w:szCs w:val="32"/>
          <w:lang w:bidi="ar"/>
        </w:rPr>
        <w:t>“</w:t>
      </w:r>
      <w:r>
        <w:rPr>
          <w:rFonts w:ascii="仿宋_GB2312" w:cs="仿宋_GB2312"/>
          <w:szCs w:val="32"/>
          <w:lang w:bidi="ar"/>
        </w:rPr>
        <w:t>三乱</w:t>
      </w:r>
      <w:r>
        <w:rPr>
          <w:szCs w:val="32"/>
          <w:lang w:bidi="ar"/>
        </w:rPr>
        <w:t>”</w:t>
      </w:r>
      <w:r>
        <w:rPr>
          <w:rFonts w:ascii="仿宋_GB2312" w:cs="仿宋_GB2312"/>
          <w:szCs w:val="32"/>
          <w:lang w:bidi="ar"/>
        </w:rPr>
        <w:t>抵消。</w:t>
      </w:r>
      <w:r>
        <w:rPr>
          <w:rFonts w:ascii="楷体_GB2312" w:eastAsia="楷体_GB2312" w:cs="楷体_GB2312"/>
          <w:szCs w:val="32"/>
          <w:lang w:bidi="ar"/>
        </w:rPr>
        <w:t>（责任单位：省发展改革委、省财政厅、省市场监管局、省经信厅按各自职责分工，各市、县〔市、区〕政府）</w:t>
      </w:r>
    </w:p>
    <w:p>
      <w:pPr>
        <w:spacing w:line="579" w:lineRule="exact"/>
        <w:ind w:firstLine="600"/>
        <w:rPr>
          <w:rFonts w:eastAsia="黑体"/>
          <w:szCs w:val="32"/>
        </w:rPr>
      </w:pPr>
      <w:r>
        <w:rPr>
          <w:rFonts w:ascii="黑体" w:hAnsi="宋体" w:eastAsia="黑体" w:cs="黑体"/>
          <w:szCs w:val="32"/>
          <w:lang w:bidi="ar"/>
        </w:rPr>
        <w:t>二、精准实施分行业领域纾困扶持措施</w:t>
      </w:r>
    </w:p>
    <w:p>
      <w:pPr>
        <w:spacing w:line="579" w:lineRule="exact"/>
        <w:ind w:firstLine="600"/>
        <w:rPr>
          <w:rFonts w:eastAsia="楷体_GB2312"/>
          <w:b/>
          <w:szCs w:val="32"/>
        </w:rPr>
      </w:pPr>
      <w:r>
        <w:rPr>
          <w:rFonts w:ascii="楷体_GB2312" w:eastAsia="楷体_GB2312" w:cs="楷体_GB2312"/>
          <w:b/>
          <w:szCs w:val="32"/>
          <w:lang w:bidi="ar"/>
        </w:rPr>
        <w:t>（一）餐饮业</w:t>
      </w:r>
    </w:p>
    <w:p>
      <w:pPr>
        <w:spacing w:line="579" w:lineRule="exact"/>
        <w:ind w:firstLine="684" w:firstLineChars="218"/>
        <w:rPr>
          <w:rFonts w:eastAsia="楷体_GB2312"/>
          <w:szCs w:val="32"/>
        </w:rPr>
      </w:pPr>
      <w:r>
        <w:rPr>
          <w:szCs w:val="32"/>
          <w:lang w:bidi="ar"/>
        </w:rPr>
        <w:t>21</w:t>
      </w:r>
      <w:r>
        <w:rPr>
          <w:rFonts w:ascii="仿宋_GB2312" w:cs="仿宋_GB2312"/>
          <w:szCs w:val="32"/>
          <w:lang w:bidi="ar"/>
        </w:rPr>
        <w:t>．</w:t>
      </w:r>
      <w:r>
        <w:rPr>
          <w:szCs w:val="32"/>
          <w:lang w:bidi="ar"/>
        </w:rPr>
        <w:t>2022</w:t>
      </w:r>
      <w:r>
        <w:rPr>
          <w:rFonts w:ascii="仿宋_GB2312" w:cs="仿宋_GB2312"/>
          <w:szCs w:val="32"/>
          <w:lang w:bidi="ar"/>
        </w:rPr>
        <w:t>年将餐饮企业员工纳入免费核酸检测人群，按重点人员核酸检测要求定期开展核酸检测，具体名单由企业注册所在地行业主管部门根据企业申请审核后，提交本级疫情防控指挥部确定。鼓励有条件的地方对企业防疫、消杀支出给予补贴支持。</w:t>
      </w:r>
      <w:r>
        <w:rPr>
          <w:rFonts w:ascii="楷体_GB2312" w:eastAsia="楷体_GB2312" w:cs="楷体_GB2312"/>
          <w:szCs w:val="32"/>
          <w:lang w:bidi="ar"/>
        </w:rPr>
        <w:t>（责任单位：省卫生健康委、省财政厅、省商务厅，各市、县〔市、区〕政府）</w:t>
      </w:r>
    </w:p>
    <w:p>
      <w:pPr>
        <w:spacing w:line="579" w:lineRule="exact"/>
        <w:ind w:firstLine="684" w:firstLineChars="218"/>
        <w:rPr>
          <w:rFonts w:eastAsia="楷体_GB2312"/>
          <w:szCs w:val="32"/>
        </w:rPr>
      </w:pPr>
      <w:r>
        <w:rPr>
          <w:szCs w:val="32"/>
          <w:lang w:bidi="ar"/>
        </w:rPr>
        <w:t>22</w:t>
      </w:r>
      <w:r>
        <w:rPr>
          <w:rFonts w:ascii="仿宋_GB2312" w:cs="仿宋_GB2312"/>
          <w:szCs w:val="32"/>
          <w:lang w:bidi="ar"/>
        </w:rPr>
        <w:t>．充分应用互联网餐饮平台出台的商户服务费优惠政策措施，免费提供部分食安封签，进一步降低餐饮企业经营成本。鼓励互联网平台企业对疫情中高风险地区所在的县级行政区域内的餐饮企业，给予阶段性商户服务费优惠。</w:t>
      </w:r>
      <w:r>
        <w:rPr>
          <w:rFonts w:ascii="楷体_GB2312" w:eastAsia="楷体_GB2312" w:cs="楷体_GB2312"/>
          <w:szCs w:val="32"/>
          <w:lang w:bidi="ar"/>
        </w:rPr>
        <w:t>（责任单位：省市场监管局、省商务厅）</w:t>
      </w:r>
    </w:p>
    <w:p>
      <w:pPr>
        <w:spacing w:line="579" w:lineRule="exact"/>
        <w:ind w:firstLine="684" w:firstLineChars="218"/>
        <w:rPr>
          <w:rFonts w:eastAsia="楷体_GB2312"/>
          <w:szCs w:val="32"/>
        </w:rPr>
      </w:pPr>
      <w:r>
        <w:rPr>
          <w:szCs w:val="32"/>
          <w:lang w:bidi="ar"/>
        </w:rPr>
        <w:t>23</w:t>
      </w:r>
      <w:r>
        <w:rPr>
          <w:rFonts w:ascii="仿宋_GB2312" w:cs="仿宋_GB2312"/>
          <w:szCs w:val="32"/>
          <w:lang w:bidi="ar"/>
        </w:rPr>
        <w:t>．符合条件的餐饮企业，可缓缴失业保险费，期限不超过一年，缓缴期间不收滞纳金。具体办法由省人力社保厅会同省税务局、省财政厅等部门另行制定。</w:t>
      </w:r>
      <w:r>
        <w:rPr>
          <w:rFonts w:ascii="楷体_GB2312" w:eastAsia="楷体_GB2312" w:cs="楷体_GB2312"/>
          <w:szCs w:val="32"/>
          <w:lang w:bidi="ar"/>
        </w:rPr>
        <w:t>（责任单位：省人力社保厅、省税务局、省财政厅、省商务厅）</w:t>
      </w:r>
    </w:p>
    <w:p>
      <w:pPr>
        <w:spacing w:line="579" w:lineRule="exact"/>
        <w:ind w:firstLine="684" w:firstLineChars="218"/>
        <w:rPr>
          <w:szCs w:val="32"/>
        </w:rPr>
      </w:pPr>
      <w:r>
        <w:rPr>
          <w:szCs w:val="32"/>
          <w:lang w:bidi="ar"/>
        </w:rPr>
        <w:t>24</w:t>
      </w:r>
      <w:r>
        <w:rPr>
          <w:rFonts w:ascii="仿宋_GB2312" w:cs="仿宋_GB2312"/>
          <w:szCs w:val="32"/>
          <w:lang w:bidi="ar"/>
        </w:rPr>
        <w:t>．减半收取餐饮企业电梯、锅炉、锅炉水（介）质等检验检测费用。执行时间至</w:t>
      </w:r>
      <w:r>
        <w:rPr>
          <w:szCs w:val="32"/>
          <w:lang w:bidi="ar"/>
        </w:rPr>
        <w:t>2023</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w:t>
      </w:r>
      <w:r>
        <w:rPr>
          <w:rFonts w:ascii="楷体_GB2312" w:eastAsia="楷体_GB2312" w:cs="楷体_GB2312"/>
          <w:szCs w:val="32"/>
          <w:lang w:bidi="ar"/>
        </w:rPr>
        <w:t>（责任单位：省市场监管局）</w:t>
      </w:r>
    </w:p>
    <w:p>
      <w:pPr>
        <w:spacing w:line="579" w:lineRule="exact"/>
        <w:ind w:firstLine="684" w:firstLineChars="218"/>
        <w:rPr>
          <w:szCs w:val="32"/>
        </w:rPr>
      </w:pPr>
      <w:r>
        <w:rPr>
          <w:szCs w:val="32"/>
          <w:lang w:bidi="ar"/>
        </w:rPr>
        <w:t>25</w:t>
      </w:r>
      <w:r>
        <w:rPr>
          <w:rFonts w:ascii="仿宋_GB2312" w:cs="仿宋_GB2312"/>
          <w:szCs w:val="32"/>
          <w:lang w:bidi="ar"/>
        </w:rPr>
        <w:t>．统筹用好各类省级专项资金，重点向餐饮企业数字化转型、餐饮特色街区改造提升、国家钻级餐饮品牌创建、</w:t>
      </w:r>
      <w:r>
        <w:rPr>
          <w:szCs w:val="32"/>
          <w:lang w:bidi="ar"/>
        </w:rPr>
        <w:t>“</w:t>
      </w:r>
      <w:r>
        <w:rPr>
          <w:rFonts w:ascii="仿宋_GB2312" w:cs="仿宋_GB2312"/>
          <w:szCs w:val="32"/>
          <w:lang w:bidi="ar"/>
        </w:rPr>
        <w:t>百县千碗</w:t>
      </w:r>
      <w:r>
        <w:rPr>
          <w:szCs w:val="32"/>
          <w:lang w:bidi="ar"/>
        </w:rPr>
        <w:t>”</w:t>
      </w:r>
      <w:r>
        <w:rPr>
          <w:rFonts w:ascii="仿宋_GB2312" w:cs="仿宋_GB2312"/>
          <w:szCs w:val="32"/>
          <w:lang w:bidi="ar"/>
        </w:rPr>
        <w:t>特色美食品牌打造、餐饮美食推广促销、地方菜系挖掘和传承等方向倾斜。</w:t>
      </w:r>
      <w:r>
        <w:rPr>
          <w:rFonts w:ascii="楷体_GB2312" w:eastAsia="楷体_GB2312" w:cs="楷体_GB2312"/>
          <w:szCs w:val="32"/>
          <w:lang w:bidi="ar"/>
        </w:rPr>
        <w:t>（责任单位：省商务厅、省文化与旅游厅、省财政厅）</w:t>
      </w:r>
    </w:p>
    <w:p>
      <w:pPr>
        <w:spacing w:line="579" w:lineRule="exact"/>
        <w:ind w:firstLine="684" w:firstLineChars="218"/>
        <w:rPr>
          <w:szCs w:val="32"/>
        </w:rPr>
      </w:pPr>
      <w:r>
        <w:rPr>
          <w:szCs w:val="32"/>
          <w:lang w:bidi="ar"/>
        </w:rPr>
        <w:t>26</w:t>
      </w:r>
      <w:r>
        <w:rPr>
          <w:rFonts w:ascii="仿宋_GB2312" w:cs="仿宋_GB2312"/>
          <w:szCs w:val="32"/>
          <w:lang w:bidi="ar"/>
        </w:rPr>
        <w:t>．引导金融机构加强与餐饮行业主管部门、监管部门、税务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r>
        <w:rPr>
          <w:rFonts w:ascii="楷体_GB2312" w:eastAsia="楷体_GB2312" w:cs="楷体_GB2312"/>
          <w:szCs w:val="32"/>
          <w:lang w:bidi="ar"/>
        </w:rPr>
        <w:t>（责任单位：人行杭州中心支行、省发展改革委、省商务厅、浙江银保监局、浙江证监局）</w:t>
      </w:r>
    </w:p>
    <w:p>
      <w:pPr>
        <w:adjustRightInd w:val="0"/>
        <w:snapToGrid w:val="0"/>
        <w:spacing w:line="579" w:lineRule="exact"/>
        <w:ind w:firstLine="628" w:firstLineChars="200"/>
        <w:rPr>
          <w:szCs w:val="32"/>
        </w:rPr>
      </w:pPr>
      <w:r>
        <w:rPr>
          <w:szCs w:val="32"/>
          <w:lang w:bidi="ar"/>
        </w:rPr>
        <w:t>27</w:t>
      </w:r>
      <w:r>
        <w:rPr>
          <w:rFonts w:ascii="仿宋_GB2312" w:cs="仿宋_GB2312"/>
          <w:szCs w:val="32"/>
          <w:lang w:bidi="ar"/>
        </w:rPr>
        <w:t>．鼓励保险机构优化产品和服务，探索开展因疫情导致餐饮企业营业中断损失保险，提升理赔效率，提高对餐饮企业的保障程度。鼓励有条件的地方给予保费补贴。</w:t>
      </w:r>
      <w:r>
        <w:rPr>
          <w:rFonts w:ascii="楷体_GB2312" w:eastAsia="楷体_GB2312" w:cs="楷体_GB2312"/>
          <w:szCs w:val="32"/>
          <w:lang w:bidi="ar"/>
        </w:rPr>
        <w:t>（责任单位：浙江银保监局）</w:t>
      </w:r>
    </w:p>
    <w:p>
      <w:pPr>
        <w:adjustRightInd w:val="0"/>
        <w:snapToGrid w:val="0"/>
        <w:spacing w:line="579" w:lineRule="exact"/>
        <w:ind w:firstLine="628" w:firstLineChars="200"/>
        <w:rPr>
          <w:szCs w:val="32"/>
        </w:rPr>
      </w:pPr>
      <w:r>
        <w:rPr>
          <w:szCs w:val="32"/>
          <w:lang w:bidi="ar"/>
        </w:rPr>
        <w:t>28</w:t>
      </w:r>
      <w:r>
        <w:rPr>
          <w:rFonts w:ascii="仿宋_GB2312" w:cs="仿宋_GB2312"/>
          <w:szCs w:val="32"/>
          <w:lang w:bidi="ar"/>
        </w:rPr>
        <w:t>．鼓励餐饮企业为老年人提供助餐服务，地方结合实际因地制宜对老年人助餐服务给予适当支持。不得强制餐饮企业给予配套优惠措施。</w:t>
      </w:r>
      <w:r>
        <w:rPr>
          <w:rFonts w:ascii="楷体_GB2312" w:eastAsia="楷体_GB2312" w:cs="楷体_GB2312"/>
          <w:szCs w:val="32"/>
          <w:lang w:bidi="ar"/>
        </w:rPr>
        <w:t>（责任单位：省民政厅、省商务厅）</w:t>
      </w:r>
    </w:p>
    <w:p>
      <w:pPr>
        <w:spacing w:line="579" w:lineRule="exact"/>
        <w:ind w:firstLine="628" w:firstLineChars="200"/>
        <w:rPr>
          <w:rFonts w:eastAsia="楷体_GB2312"/>
          <w:b/>
          <w:kern w:val="44"/>
          <w:szCs w:val="32"/>
        </w:rPr>
      </w:pPr>
      <w:r>
        <w:rPr>
          <w:rFonts w:ascii="楷体_GB2312" w:eastAsia="楷体_GB2312" w:cs="楷体_GB2312"/>
          <w:b/>
          <w:kern w:val="44"/>
          <w:szCs w:val="32"/>
          <w:lang w:bidi="ar"/>
        </w:rPr>
        <w:t>（二）零售业</w:t>
      </w:r>
    </w:p>
    <w:p>
      <w:pPr>
        <w:spacing w:line="579" w:lineRule="exact"/>
        <w:ind w:firstLine="684" w:firstLineChars="218"/>
        <w:rPr>
          <w:szCs w:val="32"/>
        </w:rPr>
      </w:pPr>
      <w:r>
        <w:rPr>
          <w:szCs w:val="32"/>
          <w:lang w:bidi="ar"/>
        </w:rPr>
        <w:t>29</w:t>
      </w:r>
      <w:r>
        <w:rPr>
          <w:rFonts w:ascii="仿宋_GB2312" w:cs="仿宋_GB2312"/>
          <w:szCs w:val="32"/>
          <w:lang w:bidi="ar"/>
        </w:rPr>
        <w:t>．</w:t>
      </w:r>
      <w:r>
        <w:rPr>
          <w:szCs w:val="32"/>
          <w:lang w:bidi="ar"/>
        </w:rPr>
        <w:t>2022</w:t>
      </w:r>
      <w:r>
        <w:rPr>
          <w:rFonts w:ascii="仿宋_GB2312" w:cs="仿宋_GB2312"/>
          <w:szCs w:val="32"/>
          <w:lang w:bidi="ar"/>
        </w:rPr>
        <w:t>年将零售企业员工纳入免费核酸检测人群，按重点人员核酸检测要求定期开展免费核酸检测，具体名单由企业注册所在地行业主管部门根据企业申请审核后，提交本级疫情防控指挥部确定。鼓励有条件的地方对企业防疫、消杀支出给予补贴支持。</w:t>
      </w:r>
      <w:r>
        <w:rPr>
          <w:rFonts w:ascii="楷体_GB2312" w:eastAsia="楷体_GB2312" w:cs="楷体_GB2312"/>
          <w:szCs w:val="32"/>
          <w:lang w:bidi="ar"/>
        </w:rPr>
        <w:t>（责任单位：省卫生健康委、省财政厅、省商务厅，各市、县〔市、区〕政府）</w:t>
      </w:r>
    </w:p>
    <w:p>
      <w:pPr>
        <w:spacing w:line="579" w:lineRule="exact"/>
        <w:ind w:firstLine="684" w:firstLineChars="218"/>
        <w:rPr>
          <w:szCs w:val="32"/>
        </w:rPr>
      </w:pPr>
      <w:r>
        <w:rPr>
          <w:szCs w:val="32"/>
          <w:lang w:bidi="ar"/>
        </w:rPr>
        <w:t>30</w:t>
      </w:r>
      <w:r>
        <w:rPr>
          <w:rFonts w:ascii="仿宋_GB2312" w:cs="仿宋_GB2312"/>
          <w:szCs w:val="32"/>
          <w:lang w:bidi="ar"/>
        </w:rPr>
        <w:t>．支持开展县域商业体系建设。统筹用好中央及省级专项资金，发挥市场机制作用，推动</w:t>
      </w:r>
      <w:r>
        <w:rPr>
          <w:szCs w:val="32"/>
          <w:lang w:bidi="ar"/>
        </w:rPr>
        <w:t>“</w:t>
      </w:r>
      <w:r>
        <w:rPr>
          <w:rFonts w:ascii="仿宋_GB2312" w:cs="仿宋_GB2312"/>
          <w:szCs w:val="32"/>
          <w:lang w:bidi="ar"/>
        </w:rPr>
        <w:t>一个上行（农产品上行）</w:t>
      </w:r>
      <w:r>
        <w:rPr>
          <w:szCs w:val="32"/>
          <w:lang w:bidi="ar"/>
        </w:rPr>
        <w:t>”</w:t>
      </w:r>
      <w:r>
        <w:rPr>
          <w:rFonts w:ascii="仿宋_GB2312" w:cs="仿宋_GB2312"/>
          <w:szCs w:val="32"/>
          <w:lang w:bidi="ar"/>
        </w:rPr>
        <w:t>和</w:t>
      </w:r>
      <w:r>
        <w:rPr>
          <w:szCs w:val="32"/>
          <w:lang w:bidi="ar"/>
        </w:rPr>
        <w:t>“</w:t>
      </w:r>
      <w:r>
        <w:rPr>
          <w:rFonts w:ascii="仿宋_GB2312" w:cs="仿宋_GB2312"/>
          <w:szCs w:val="32"/>
          <w:lang w:bidi="ar"/>
        </w:rPr>
        <w:t>三个下沉（供应链下沉、物流配送下沉、商品和服务下沉）</w:t>
      </w:r>
      <w:r>
        <w:rPr>
          <w:szCs w:val="32"/>
          <w:lang w:bidi="ar"/>
        </w:rPr>
        <w:t>”</w:t>
      </w:r>
      <w:r>
        <w:rPr>
          <w:rFonts w:ascii="仿宋_GB2312" w:cs="仿宋_GB2312"/>
          <w:szCs w:val="32"/>
          <w:lang w:bidi="ar"/>
        </w:rPr>
        <w:t>。</w:t>
      </w:r>
      <w:r>
        <w:rPr>
          <w:rFonts w:ascii="楷体_GB2312" w:eastAsia="楷体_GB2312" w:cs="楷体_GB2312"/>
          <w:szCs w:val="32"/>
          <w:lang w:bidi="ar"/>
        </w:rPr>
        <w:t>（责任单位：省财政厅、省商务厅）</w:t>
      </w:r>
    </w:p>
    <w:p>
      <w:pPr>
        <w:spacing w:line="579" w:lineRule="exact"/>
        <w:ind w:firstLine="684" w:firstLineChars="218"/>
        <w:rPr>
          <w:szCs w:val="32"/>
        </w:rPr>
      </w:pPr>
      <w:r>
        <w:rPr>
          <w:szCs w:val="32"/>
          <w:lang w:bidi="ar"/>
        </w:rPr>
        <w:t>31</w:t>
      </w:r>
      <w:r>
        <w:rPr>
          <w:rFonts w:ascii="仿宋_GB2312" w:cs="仿宋_GB2312"/>
          <w:szCs w:val="32"/>
          <w:lang w:bidi="ar"/>
        </w:rPr>
        <w:t>．对符合条件的农产品冷链物流设施建设等，在农业农村等相关资金中予以支持。</w:t>
      </w:r>
      <w:r>
        <w:rPr>
          <w:rFonts w:ascii="楷体_GB2312" w:eastAsia="楷体_GB2312" w:cs="楷体_GB2312"/>
          <w:szCs w:val="32"/>
          <w:lang w:bidi="ar"/>
        </w:rPr>
        <w:t>（责任单位：省农业农村厅、省财政厅）</w:t>
      </w:r>
    </w:p>
    <w:p>
      <w:pPr>
        <w:adjustRightInd w:val="0"/>
        <w:snapToGrid w:val="0"/>
        <w:spacing w:line="579" w:lineRule="exact"/>
        <w:ind w:firstLine="628" w:firstLineChars="200"/>
        <w:rPr>
          <w:strike/>
          <w:szCs w:val="32"/>
        </w:rPr>
      </w:pPr>
      <w:r>
        <w:rPr>
          <w:szCs w:val="32"/>
          <w:lang w:bidi="ar"/>
        </w:rPr>
        <w:t>32</w:t>
      </w:r>
      <w:r>
        <w:rPr>
          <w:rFonts w:ascii="仿宋_GB2312" w:cs="仿宋_GB2312"/>
          <w:szCs w:val="32"/>
          <w:lang w:bidi="ar"/>
        </w:rPr>
        <w:t>．符合条件的零售企业，可缓缴失业保险费，期限不超过一年，缓缴期间不收滞纳金。具体办法由省人力社保厅会同省税务局、省财政厅等部门另行制定。</w:t>
      </w:r>
      <w:r>
        <w:rPr>
          <w:rFonts w:ascii="楷体_GB2312" w:eastAsia="楷体_GB2312" w:cs="楷体_GB2312"/>
          <w:szCs w:val="32"/>
          <w:lang w:bidi="ar"/>
        </w:rPr>
        <w:t>（责任单位：省人力社保厅、省税务局、省财政厅、省商务厅）</w:t>
      </w:r>
    </w:p>
    <w:p>
      <w:pPr>
        <w:spacing w:line="579" w:lineRule="exact"/>
        <w:ind w:firstLine="684" w:firstLineChars="218"/>
        <w:rPr>
          <w:szCs w:val="32"/>
        </w:rPr>
      </w:pPr>
      <w:r>
        <w:rPr>
          <w:szCs w:val="32"/>
          <w:lang w:bidi="ar"/>
        </w:rPr>
        <w:t>33</w:t>
      </w:r>
      <w:r>
        <w:rPr>
          <w:rFonts w:ascii="仿宋_GB2312" w:cs="仿宋_GB2312"/>
          <w:szCs w:val="32"/>
          <w:lang w:bidi="ar"/>
        </w:rPr>
        <w:t>．各地商务主管部门牵头制定应急保供、重点培育、便民生活圈建设等企业名单，鼓励银行业金融机构加大信贷支持，适当降低贷款利率，鼓励有条件的地方给予贷款贴息。引导金融机构加强与零售行业主管部门、监管部门、税务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w:t>
      </w:r>
      <w:r>
        <w:rPr>
          <w:rFonts w:ascii="楷体_GB2312" w:eastAsia="楷体_GB2312" w:cs="楷体_GB2312"/>
          <w:szCs w:val="32"/>
          <w:lang w:bidi="ar"/>
        </w:rPr>
        <w:t>（责任单位：省商务厅、人行杭州中心支行、省市场监管局、省发展改革委、浙江银保监局、浙江证监局）</w:t>
      </w:r>
    </w:p>
    <w:p>
      <w:pPr>
        <w:adjustRightInd w:val="0"/>
        <w:snapToGrid w:val="0"/>
        <w:spacing w:line="579" w:lineRule="exact"/>
        <w:ind w:firstLine="600"/>
        <w:rPr>
          <w:rFonts w:eastAsia="楷体_GB2312"/>
          <w:b/>
          <w:kern w:val="44"/>
          <w:szCs w:val="32"/>
        </w:rPr>
      </w:pPr>
      <w:r>
        <w:rPr>
          <w:rFonts w:ascii="楷体_GB2312" w:eastAsia="楷体_GB2312" w:cs="楷体_GB2312"/>
          <w:b/>
          <w:kern w:val="44"/>
          <w:szCs w:val="32"/>
          <w:lang w:bidi="ar"/>
        </w:rPr>
        <w:t>（三）旅游业</w:t>
      </w:r>
    </w:p>
    <w:p>
      <w:pPr>
        <w:adjustRightInd w:val="0"/>
        <w:snapToGrid w:val="0"/>
        <w:spacing w:line="579" w:lineRule="exact"/>
        <w:ind w:firstLine="600"/>
        <w:rPr>
          <w:szCs w:val="32"/>
        </w:rPr>
      </w:pPr>
      <w:r>
        <w:rPr>
          <w:szCs w:val="32"/>
          <w:lang w:bidi="ar"/>
        </w:rPr>
        <w:t>34</w:t>
      </w:r>
      <w:r>
        <w:rPr>
          <w:rFonts w:ascii="仿宋_GB2312" w:cs="仿宋_GB2312"/>
          <w:szCs w:val="32"/>
          <w:lang w:bidi="ar"/>
        </w:rPr>
        <w:t>．创新旅游服务质量保证金交纳方式。组织推动开展保险替代现金或银行保函交纳旅游服务质量保证金试点工作。</w:t>
      </w:r>
      <w:r>
        <w:rPr>
          <w:szCs w:val="32"/>
          <w:lang w:bidi="ar"/>
        </w:rPr>
        <w:t>2022</w:t>
      </w:r>
      <w:r>
        <w:rPr>
          <w:rFonts w:ascii="仿宋_GB2312" w:cs="仿宋_GB2312"/>
          <w:szCs w:val="32"/>
          <w:lang w:bidi="ar"/>
        </w:rPr>
        <w:t>年继续实施旅行社暂退旅游服务质量保证金扶持政策，对符合条件的旅行社维持</w:t>
      </w:r>
      <w:r>
        <w:rPr>
          <w:szCs w:val="32"/>
          <w:lang w:bidi="ar"/>
        </w:rPr>
        <w:t>80%</w:t>
      </w:r>
      <w:r>
        <w:rPr>
          <w:rFonts w:ascii="仿宋_GB2312" w:cs="仿宋_GB2312"/>
          <w:szCs w:val="32"/>
          <w:lang w:bidi="ar"/>
        </w:rPr>
        <w:t>的暂退比例。</w:t>
      </w:r>
      <w:r>
        <w:rPr>
          <w:rFonts w:ascii="楷体_GB2312" w:eastAsia="楷体_GB2312" w:cs="楷体_GB2312"/>
          <w:szCs w:val="32"/>
          <w:lang w:bidi="ar"/>
        </w:rPr>
        <w:t>（责任单位：省文化和旅游厅）</w:t>
      </w:r>
    </w:p>
    <w:p>
      <w:pPr>
        <w:adjustRightInd w:val="0"/>
        <w:snapToGrid w:val="0"/>
        <w:spacing w:line="579" w:lineRule="exact"/>
        <w:ind w:firstLine="628" w:firstLineChars="200"/>
        <w:rPr>
          <w:szCs w:val="32"/>
        </w:rPr>
      </w:pPr>
      <w:r>
        <w:rPr>
          <w:szCs w:val="32"/>
          <w:lang w:bidi="ar"/>
        </w:rPr>
        <w:t>35</w:t>
      </w:r>
      <w:r>
        <w:rPr>
          <w:rFonts w:ascii="仿宋_GB2312" w:cs="仿宋_GB2312"/>
          <w:szCs w:val="32"/>
          <w:lang w:bidi="ar"/>
        </w:rPr>
        <w:t>．符合条件的旅游企业，可缓缴失业保险费，期限不超过一年，缓缴期间不收滞纳金。具体办法由省人力社保厅会同省税务局、省财政厅等部门另行制定。</w:t>
      </w:r>
      <w:r>
        <w:rPr>
          <w:rFonts w:ascii="楷体_GB2312" w:eastAsia="楷体_GB2312" w:cs="楷体_GB2312"/>
          <w:szCs w:val="32"/>
          <w:lang w:bidi="ar"/>
        </w:rPr>
        <w:t>（责任单位：省人力社保厅、省税务局、省财政厅、省文化和旅游厅）</w:t>
      </w:r>
    </w:p>
    <w:p>
      <w:pPr>
        <w:adjustRightInd w:val="0"/>
        <w:snapToGrid w:val="0"/>
        <w:spacing w:line="579" w:lineRule="exact"/>
        <w:ind w:firstLine="628" w:firstLineChars="200"/>
        <w:rPr>
          <w:szCs w:val="32"/>
        </w:rPr>
      </w:pPr>
      <w:r>
        <w:rPr>
          <w:szCs w:val="32"/>
          <w:lang w:bidi="ar"/>
        </w:rPr>
        <w:t>36</w:t>
      </w:r>
      <w:r>
        <w:rPr>
          <w:rFonts w:ascii="仿宋_GB2312" w:cs="仿宋_GB2312"/>
          <w:szCs w:val="32"/>
          <w:lang w:bidi="ar"/>
        </w:rPr>
        <w:t>．加强银企合作，建立健全重点文化和旅游企业项目融资需求库，引导金融机构对符合条件的、预期发展前景较好的</w:t>
      </w:r>
      <w:r>
        <w:rPr>
          <w:szCs w:val="32"/>
          <w:lang w:bidi="ar"/>
        </w:rPr>
        <w:t>A</w:t>
      </w:r>
      <w:r>
        <w:rPr>
          <w:rFonts w:ascii="仿宋_GB2312" w:cs="仿宋_GB2312"/>
          <w:szCs w:val="32"/>
          <w:lang w:bidi="ar"/>
        </w:rPr>
        <w:t>级旅游景区、旅游度假区、乡村旅游经营单位、星级酒店、旅行社、省级以上文化产业示范园区（基地）、梯度培育企业及重点文旅项目等文化和旅游市场主体加大信贷投入，适当提高贷款额度。鼓励银行业金融机构对旅游相关初创企业、中小微企业和星级以上民宿等个体工商户分类予以小额贷款支持。</w:t>
      </w:r>
      <w:r>
        <w:rPr>
          <w:rFonts w:ascii="楷体_GB2312" w:eastAsia="楷体_GB2312" w:cs="楷体_GB2312"/>
          <w:szCs w:val="32"/>
          <w:lang w:bidi="ar"/>
        </w:rPr>
        <w:t>（责任单位：省文化和旅游厅、人行杭州中心支行、浙江银保监局，各市、县〔市、区〕政府）</w:t>
      </w:r>
    </w:p>
    <w:p>
      <w:pPr>
        <w:adjustRightInd w:val="0"/>
        <w:snapToGrid w:val="0"/>
        <w:spacing w:line="579" w:lineRule="exact"/>
        <w:ind w:firstLine="628" w:firstLineChars="200"/>
        <w:rPr>
          <w:szCs w:val="32"/>
        </w:rPr>
      </w:pPr>
      <w:r>
        <w:rPr>
          <w:szCs w:val="32"/>
          <w:lang w:bidi="ar"/>
        </w:rPr>
        <w:t>37</w:t>
      </w:r>
      <w:r>
        <w:rPr>
          <w:rFonts w:ascii="仿宋_GB2312" w:cs="仿宋_GB2312"/>
          <w:szCs w:val="32"/>
          <w:lang w:bidi="ar"/>
        </w:rPr>
        <w:t>．鼓励银行业金融机构合理增加旅游业有效信贷供给。加强金融产品和服务创新，探索应收账款、知识产权、文化版权等无形资产融资模式，拓宽文旅企业抵质押物范围。建立重点企业融资风险防控机制。引导金融机构合理降低新发放贷款利率，适当延长信贷还款周期，对受疫情影响生产经营困难的旅游企业主动让利。鼓励符合条件的文旅企业发行公司信用类债券，拓宽旅游企业多元化融资渠道。</w:t>
      </w:r>
      <w:r>
        <w:rPr>
          <w:rFonts w:ascii="楷体_GB2312" w:eastAsia="楷体_GB2312" w:cs="楷体_GB2312"/>
          <w:szCs w:val="32"/>
          <w:lang w:bidi="ar"/>
        </w:rPr>
        <w:t>（责任单位：人行杭州中心支行、省文化和旅游厅、浙江银保监局、省发展改革委、浙江证监局）</w:t>
      </w:r>
    </w:p>
    <w:p>
      <w:pPr>
        <w:adjustRightInd w:val="0"/>
        <w:snapToGrid w:val="0"/>
        <w:spacing w:line="579" w:lineRule="exact"/>
        <w:ind w:firstLine="628" w:firstLineChars="200"/>
        <w:rPr>
          <w:szCs w:val="32"/>
        </w:rPr>
      </w:pPr>
      <w:r>
        <w:rPr>
          <w:szCs w:val="32"/>
          <w:lang w:bidi="ar"/>
        </w:rPr>
        <w:t>38</w:t>
      </w:r>
      <w:r>
        <w:rPr>
          <w:rFonts w:ascii="仿宋_GB2312" w:cs="仿宋_GB2312"/>
          <w:szCs w:val="32"/>
          <w:lang w:bidi="ar"/>
        </w:rPr>
        <w:t>．政府采购住宿、会议、餐饮等服务项目时，严格执行经费支出额度规定，不得以星级、所有制等为门槛限制相关企业参与政府采购。</w:t>
      </w:r>
      <w:r>
        <w:rPr>
          <w:rFonts w:ascii="楷体_GB2312" w:eastAsia="楷体_GB2312" w:cs="楷体_GB2312"/>
          <w:szCs w:val="32"/>
          <w:lang w:bidi="ar"/>
        </w:rPr>
        <w:t>（责任单位：省财政厅）</w:t>
      </w:r>
    </w:p>
    <w:p>
      <w:pPr>
        <w:adjustRightInd w:val="0"/>
        <w:snapToGrid w:val="0"/>
        <w:spacing w:line="579" w:lineRule="exact"/>
        <w:ind w:firstLine="628" w:firstLineChars="200"/>
        <w:rPr>
          <w:szCs w:val="32"/>
        </w:rPr>
      </w:pPr>
      <w:r>
        <w:rPr>
          <w:szCs w:val="32"/>
          <w:lang w:bidi="ar"/>
        </w:rPr>
        <w:t>39</w:t>
      </w:r>
      <w:r>
        <w:rPr>
          <w:rFonts w:ascii="仿宋_GB2312" w:cs="仿宋_GB2312"/>
          <w:szCs w:val="32"/>
          <w:lang w:bidi="ar"/>
        </w:rPr>
        <w:t>．支持旅行社按规定提供相关委托服务。鼓励各级党政机关、各企事业单位、社会团体组织的工会活动、会展活动等，可按规定委托旅行社代理安排交通、住宿、餐饮、会务等服务事项。鼓励旅行社及相关运营机构积极参与政府相关的采购活动，加强资金使用管理，合理确定预付款比例，并按照合同约定及时向旅行社支付资金。推动落实带薪休假和开展职工疗休养，支持符合条件的旅行社、疗休养基地等承接疗休养业务。鼓励各级学校、教育机构在省内外开展研学活动，支持符合条件的旅行社及相关运营机构等承接研学服务业务。</w:t>
      </w:r>
      <w:r>
        <w:rPr>
          <w:rFonts w:ascii="楷体_GB2312" w:eastAsia="楷体_GB2312" w:cs="楷体_GB2312"/>
          <w:szCs w:val="32"/>
          <w:lang w:bidi="ar"/>
        </w:rPr>
        <w:t>（责任单位：省财政厅、省总工会、省文化和旅游厅、省教育厅，各市、县〔市、区〕政府）</w:t>
      </w:r>
    </w:p>
    <w:p>
      <w:pPr>
        <w:adjustRightInd w:val="0"/>
        <w:snapToGrid w:val="0"/>
        <w:spacing w:line="579" w:lineRule="exact"/>
        <w:ind w:firstLine="628" w:firstLineChars="200"/>
        <w:rPr>
          <w:szCs w:val="32"/>
        </w:rPr>
      </w:pPr>
      <w:r>
        <w:rPr>
          <w:szCs w:val="32"/>
          <w:lang w:bidi="ar"/>
        </w:rPr>
        <w:t>40</w:t>
      </w:r>
      <w:r>
        <w:rPr>
          <w:rFonts w:ascii="仿宋_GB2312" w:cs="仿宋_GB2312"/>
          <w:szCs w:val="32"/>
          <w:lang w:bidi="ar"/>
        </w:rPr>
        <w:t>．推进移动支付助力智慧文旅。推动云闪付、手机银行等移动支付平台与</w:t>
      </w:r>
      <w:r>
        <w:rPr>
          <w:szCs w:val="32"/>
          <w:lang w:bidi="ar"/>
        </w:rPr>
        <w:t>“</w:t>
      </w:r>
      <w:r>
        <w:rPr>
          <w:rFonts w:ascii="仿宋_GB2312" w:cs="仿宋_GB2312"/>
          <w:szCs w:val="32"/>
          <w:lang w:bidi="ar"/>
        </w:rPr>
        <w:t>浙里好玩</w:t>
      </w:r>
      <w:r>
        <w:rPr>
          <w:szCs w:val="32"/>
          <w:lang w:bidi="ar"/>
        </w:rPr>
        <w:t>”</w:t>
      </w:r>
      <w:r>
        <w:rPr>
          <w:rFonts w:ascii="仿宋_GB2312" w:cs="仿宋_GB2312"/>
          <w:szCs w:val="32"/>
          <w:lang w:bidi="ar"/>
        </w:rPr>
        <w:t>平台对接，提升智慧旅游便民服务水平。大力推动景区、住宿、餐饮、出行等文旅消费重点场景移动支付应用。鼓励通过银行业移动支付渠道发放文化和旅游消费券，提升消费券激励文旅消费效果。推进数字人民币在亚运场景的落地，提升移动支付在杭州</w:t>
      </w:r>
      <w:r>
        <w:rPr>
          <w:szCs w:val="32"/>
          <w:lang w:bidi="ar"/>
        </w:rPr>
        <w:t>2022</w:t>
      </w:r>
      <w:r>
        <w:rPr>
          <w:rFonts w:ascii="仿宋_GB2312" w:cs="仿宋_GB2312"/>
          <w:szCs w:val="32"/>
          <w:lang w:bidi="ar"/>
        </w:rPr>
        <w:t>亚运会文旅场景的覆盖率。</w:t>
      </w:r>
      <w:r>
        <w:rPr>
          <w:rFonts w:ascii="楷体_GB2312" w:eastAsia="楷体_GB2312" w:cs="楷体_GB2312"/>
          <w:szCs w:val="32"/>
          <w:lang w:bidi="ar"/>
        </w:rPr>
        <w:t>（责任单位：省文化和旅游厅、人行杭州中心支行、浙江银保监局、杭州市亚运会组委会）</w:t>
      </w:r>
    </w:p>
    <w:p>
      <w:pPr>
        <w:adjustRightInd w:val="0"/>
        <w:snapToGrid w:val="0"/>
        <w:spacing w:line="579" w:lineRule="exact"/>
        <w:ind w:firstLine="628" w:firstLineChars="200"/>
        <w:rPr>
          <w:szCs w:val="32"/>
        </w:rPr>
      </w:pPr>
      <w:r>
        <w:rPr>
          <w:szCs w:val="32"/>
          <w:lang w:bidi="ar"/>
        </w:rPr>
        <w:t>41</w:t>
      </w:r>
      <w:r>
        <w:rPr>
          <w:rFonts w:ascii="仿宋_GB2312" w:cs="仿宋_GB2312"/>
          <w:szCs w:val="32"/>
          <w:lang w:bidi="ar"/>
        </w:rPr>
        <w:t>．加强对文化和旅游资源宣传推介。统筹资金，加大</w:t>
      </w:r>
      <w:r>
        <w:rPr>
          <w:szCs w:val="32"/>
          <w:lang w:bidi="ar"/>
        </w:rPr>
        <w:t>“</w:t>
      </w:r>
      <w:r>
        <w:rPr>
          <w:rFonts w:ascii="仿宋_GB2312" w:cs="仿宋_GB2312"/>
          <w:szCs w:val="32"/>
          <w:lang w:bidi="ar"/>
        </w:rPr>
        <w:t>诗画浙江</w:t>
      </w:r>
      <w:r>
        <w:rPr>
          <w:szCs w:val="32"/>
          <w:lang w:bidi="ar"/>
        </w:rPr>
        <w:t>”</w:t>
      </w:r>
      <w:r>
        <w:rPr>
          <w:rFonts w:ascii="仿宋_GB2312" w:cs="仿宋_GB2312"/>
          <w:szCs w:val="32"/>
          <w:lang w:bidi="ar"/>
        </w:rPr>
        <w:t>国内宣传推广力度，开展</w:t>
      </w:r>
      <w:r>
        <w:rPr>
          <w:szCs w:val="32"/>
          <w:lang w:bidi="ar"/>
        </w:rPr>
        <w:t>“</w:t>
      </w:r>
      <w:r>
        <w:rPr>
          <w:rFonts w:ascii="仿宋_GB2312" w:cs="仿宋_GB2312"/>
          <w:szCs w:val="32"/>
          <w:lang w:bidi="ar"/>
        </w:rPr>
        <w:t>亚运</w:t>
      </w:r>
      <w:r>
        <w:rPr>
          <w:szCs w:val="32"/>
          <w:lang w:bidi="ar"/>
        </w:rPr>
        <w:t>”</w:t>
      </w:r>
      <w:r>
        <w:rPr>
          <w:rFonts w:ascii="仿宋_GB2312" w:cs="仿宋_GB2312"/>
          <w:szCs w:val="32"/>
          <w:lang w:bidi="ar"/>
        </w:rPr>
        <w:t>文旅主题宣传推广活动。发挥中国（义乌）文化和旅游产品交易博览会、中国国际网络文化博览会、浙江省旅游交易会等展会平台作用，组织更多文旅企业参展参会，推介资源产品。鼓励旅行社积极</w:t>
      </w:r>
      <w:r>
        <w:rPr>
          <w:szCs w:val="32"/>
          <w:lang w:bidi="ar"/>
        </w:rPr>
        <w:t>“</w:t>
      </w:r>
      <w:r>
        <w:rPr>
          <w:rFonts w:ascii="仿宋_GB2312" w:cs="仿宋_GB2312"/>
          <w:szCs w:val="32"/>
          <w:lang w:bidi="ar"/>
        </w:rPr>
        <w:t>引客入浙</w:t>
      </w:r>
      <w:r>
        <w:rPr>
          <w:szCs w:val="32"/>
          <w:lang w:bidi="ar"/>
        </w:rPr>
        <w:t>”</w:t>
      </w:r>
      <w:r>
        <w:rPr>
          <w:rFonts w:ascii="仿宋_GB2312" w:cs="仿宋_GB2312"/>
          <w:szCs w:val="32"/>
          <w:lang w:bidi="ar"/>
        </w:rPr>
        <w:t>，对组织省外游客来浙的旅行社给予支持。省级视情发放文化和旅游消费券，吸引省外游客来浙旅游。鼓励各地配套发行旅游消费券。</w:t>
      </w:r>
      <w:r>
        <w:rPr>
          <w:rFonts w:ascii="楷体_GB2312" w:eastAsia="楷体_GB2312" w:cs="楷体_GB2312"/>
          <w:szCs w:val="32"/>
          <w:lang w:bidi="ar"/>
        </w:rPr>
        <w:t>（责任单位：省文化和旅游厅、省财政厅、各市、县〔市、区〕政府）</w:t>
      </w:r>
    </w:p>
    <w:p>
      <w:pPr>
        <w:adjustRightInd w:val="0"/>
        <w:snapToGrid w:val="0"/>
        <w:spacing w:line="579" w:lineRule="exact"/>
        <w:ind w:firstLine="628" w:firstLineChars="200"/>
        <w:rPr>
          <w:szCs w:val="32"/>
        </w:rPr>
      </w:pPr>
      <w:r>
        <w:rPr>
          <w:szCs w:val="32"/>
          <w:lang w:bidi="ar"/>
        </w:rPr>
        <w:t>42</w:t>
      </w:r>
      <w:r>
        <w:rPr>
          <w:rFonts w:ascii="仿宋_GB2312" w:cs="仿宋_GB2312"/>
          <w:szCs w:val="32"/>
          <w:lang w:bidi="ar"/>
        </w:rPr>
        <w:t>．支持</w:t>
      </w:r>
      <w:r>
        <w:rPr>
          <w:szCs w:val="32"/>
          <w:lang w:bidi="ar"/>
        </w:rPr>
        <w:t>2020</w:t>
      </w:r>
      <w:r>
        <w:rPr>
          <w:rFonts w:ascii="仿宋_GB2312" w:cs="仿宋_GB2312"/>
          <w:szCs w:val="32"/>
          <w:lang w:bidi="ar"/>
        </w:rPr>
        <w:t>年</w:t>
      </w:r>
      <w:r>
        <w:rPr>
          <w:szCs w:val="32"/>
          <w:lang w:bidi="ar"/>
        </w:rPr>
        <w:t>12</w:t>
      </w:r>
      <w:r>
        <w:rPr>
          <w:rFonts w:ascii="仿宋_GB2312" w:cs="仿宋_GB2312"/>
          <w:szCs w:val="32"/>
          <w:lang w:bidi="ar"/>
        </w:rPr>
        <w:t>月</w:t>
      </w:r>
      <w:r>
        <w:rPr>
          <w:szCs w:val="32"/>
          <w:lang w:bidi="ar"/>
        </w:rPr>
        <w:t>31</w:t>
      </w:r>
      <w:r>
        <w:rPr>
          <w:rFonts w:ascii="仿宋_GB2312" w:cs="仿宋_GB2312"/>
          <w:szCs w:val="32"/>
          <w:lang w:bidi="ar"/>
        </w:rPr>
        <w:t>日前入选文化和旅游部</w:t>
      </w:r>
      <w:r>
        <w:rPr>
          <w:szCs w:val="32"/>
          <w:lang w:bidi="ar"/>
        </w:rPr>
        <w:t>“</w:t>
      </w:r>
      <w:r>
        <w:rPr>
          <w:rFonts w:ascii="仿宋_GB2312" w:cs="仿宋_GB2312"/>
          <w:szCs w:val="32"/>
          <w:lang w:bidi="ar"/>
        </w:rPr>
        <w:t>金牌导游</w:t>
      </w:r>
      <w:r>
        <w:rPr>
          <w:szCs w:val="32"/>
          <w:lang w:bidi="ar"/>
        </w:rPr>
        <w:t>”</w:t>
      </w:r>
      <w:r>
        <w:rPr>
          <w:rFonts w:ascii="仿宋_GB2312" w:cs="仿宋_GB2312"/>
          <w:szCs w:val="32"/>
          <w:lang w:bidi="ar"/>
        </w:rPr>
        <w:t>项目培养的导游创建具有独立法人资格的</w:t>
      </w:r>
      <w:r>
        <w:rPr>
          <w:szCs w:val="32"/>
          <w:lang w:bidi="ar"/>
        </w:rPr>
        <w:t>“</w:t>
      </w:r>
      <w:r>
        <w:rPr>
          <w:rFonts w:ascii="仿宋_GB2312" w:cs="仿宋_GB2312"/>
          <w:szCs w:val="32"/>
          <w:lang w:bidi="ar"/>
        </w:rPr>
        <w:t>金牌导游工作室</w:t>
      </w:r>
      <w:r>
        <w:rPr>
          <w:szCs w:val="32"/>
          <w:lang w:bidi="ar"/>
        </w:rPr>
        <w:t>”</w:t>
      </w:r>
      <w:r>
        <w:rPr>
          <w:rFonts w:ascii="仿宋_GB2312" w:cs="仿宋_GB2312"/>
          <w:szCs w:val="32"/>
          <w:lang w:bidi="ar"/>
        </w:rPr>
        <w:t>，纳入浙江省高技能人才（劳模）创新工作室建设范围，支持其参与高技能人才（劳模）创新工作室申报。</w:t>
      </w:r>
      <w:r>
        <w:rPr>
          <w:rFonts w:ascii="楷体_GB2312" w:eastAsia="楷体_GB2312" w:cs="楷体_GB2312"/>
          <w:szCs w:val="32"/>
          <w:lang w:bidi="ar"/>
        </w:rPr>
        <w:t>（责任单位：省文化和旅游厅、省总工会）</w:t>
      </w:r>
    </w:p>
    <w:p>
      <w:pPr>
        <w:adjustRightInd w:val="0"/>
        <w:snapToGrid w:val="0"/>
        <w:spacing w:line="579" w:lineRule="exact"/>
        <w:ind w:firstLine="628" w:firstLineChars="200"/>
        <w:rPr>
          <w:rFonts w:eastAsia="楷体_GB2312"/>
          <w:b/>
          <w:kern w:val="44"/>
          <w:szCs w:val="32"/>
        </w:rPr>
      </w:pPr>
      <w:r>
        <w:rPr>
          <w:rFonts w:ascii="楷体_GB2312" w:eastAsia="楷体_GB2312" w:cs="楷体_GB2312"/>
          <w:b/>
          <w:kern w:val="44"/>
          <w:szCs w:val="32"/>
          <w:lang w:bidi="ar"/>
        </w:rPr>
        <w:t>（四）公路水路铁路运输业</w:t>
      </w:r>
    </w:p>
    <w:p>
      <w:pPr>
        <w:adjustRightInd w:val="0"/>
        <w:snapToGrid w:val="0"/>
        <w:spacing w:line="579" w:lineRule="exact"/>
        <w:ind w:firstLine="628" w:firstLineChars="200"/>
        <w:rPr>
          <w:rFonts w:eastAsia="楷体_GB2312"/>
          <w:szCs w:val="32"/>
        </w:rPr>
      </w:pPr>
      <w:r>
        <w:rPr>
          <w:szCs w:val="32"/>
          <w:lang w:bidi="ar"/>
        </w:rPr>
        <w:t>43</w:t>
      </w:r>
      <w:r>
        <w:rPr>
          <w:rFonts w:ascii="仿宋_GB2312" w:cs="仿宋_GB2312"/>
          <w:szCs w:val="32"/>
          <w:lang w:bidi="ar"/>
        </w:rPr>
        <w:t>．</w:t>
      </w:r>
      <w:r>
        <w:rPr>
          <w:szCs w:val="32"/>
          <w:lang w:bidi="ar"/>
        </w:rPr>
        <w:t>2022</w:t>
      </w:r>
      <w:r>
        <w:rPr>
          <w:rFonts w:ascii="仿宋_GB2312" w:cs="仿宋_GB2312"/>
          <w:szCs w:val="32"/>
          <w:lang w:bidi="ar"/>
        </w:rPr>
        <w:t>年暂停铁路运输企业预缴增值税一年。</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szCs w:val="32"/>
          <w:lang w:bidi="ar"/>
        </w:rPr>
        <w:t>44</w:t>
      </w:r>
      <w:r>
        <w:rPr>
          <w:rFonts w:ascii="仿宋_GB2312" w:cs="仿宋_GB2312"/>
          <w:szCs w:val="32"/>
          <w:lang w:bidi="ar"/>
        </w:rPr>
        <w:t>．</w:t>
      </w:r>
      <w:r>
        <w:rPr>
          <w:szCs w:val="32"/>
          <w:lang w:bidi="ar"/>
        </w:rPr>
        <w:t>2022</w:t>
      </w:r>
      <w:r>
        <w:rPr>
          <w:rFonts w:ascii="仿宋_GB2312" w:cs="仿宋_GB2312"/>
          <w:szCs w:val="32"/>
          <w:lang w:bidi="ar"/>
        </w:rPr>
        <w:t>年免征轮客渡、公交客运、地铁、城市轻轨、出租车、长途客运、班车等公共交通运输服务增值税。</w:t>
      </w:r>
      <w:r>
        <w:rPr>
          <w:rFonts w:ascii="楷体_GB2312" w:eastAsia="楷体_GB2312" w:cs="楷体_GB2312"/>
          <w:szCs w:val="32"/>
          <w:lang w:bidi="ar"/>
        </w:rPr>
        <w:t>（责任单位：省税务局）</w:t>
      </w:r>
    </w:p>
    <w:p>
      <w:pPr>
        <w:adjustRightInd w:val="0"/>
        <w:snapToGrid w:val="0"/>
        <w:spacing w:line="579" w:lineRule="exact"/>
        <w:ind w:firstLine="628" w:firstLineChars="200"/>
        <w:rPr>
          <w:szCs w:val="32"/>
        </w:rPr>
      </w:pPr>
      <w:r>
        <w:rPr>
          <w:szCs w:val="32"/>
          <w:lang w:bidi="ar"/>
        </w:rPr>
        <w:t>45</w:t>
      </w:r>
      <w:r>
        <w:rPr>
          <w:rFonts w:ascii="仿宋_GB2312" w:cs="仿宋_GB2312"/>
          <w:szCs w:val="32"/>
          <w:lang w:bidi="ar"/>
        </w:rPr>
        <w:t>．积极争取</w:t>
      </w:r>
      <w:r>
        <w:rPr>
          <w:szCs w:val="32"/>
          <w:lang w:bidi="ar"/>
        </w:rPr>
        <w:t>2022</w:t>
      </w:r>
      <w:r>
        <w:rPr>
          <w:rFonts w:ascii="仿宋_GB2312" w:cs="仿宋_GB2312"/>
          <w:szCs w:val="32"/>
          <w:lang w:bidi="ar"/>
        </w:rPr>
        <w:t>年中央财政对符合要求的新能源公交车的购置补贴。</w:t>
      </w:r>
      <w:r>
        <w:rPr>
          <w:rFonts w:ascii="楷体_GB2312" w:eastAsia="楷体_GB2312" w:cs="楷体_GB2312"/>
          <w:szCs w:val="32"/>
          <w:lang w:bidi="ar"/>
        </w:rPr>
        <w:t>（责任单位：省财政厅、省发展改革委、省交通运输厅）</w:t>
      </w:r>
    </w:p>
    <w:p>
      <w:pPr>
        <w:adjustRightInd w:val="0"/>
        <w:snapToGrid w:val="0"/>
        <w:spacing w:line="579" w:lineRule="exact"/>
        <w:ind w:firstLine="628" w:firstLineChars="200"/>
        <w:rPr>
          <w:szCs w:val="32"/>
        </w:rPr>
      </w:pPr>
      <w:r>
        <w:rPr>
          <w:szCs w:val="32"/>
          <w:lang w:bidi="ar"/>
        </w:rPr>
        <w:t>46</w:t>
      </w:r>
      <w:r>
        <w:rPr>
          <w:rFonts w:ascii="仿宋_GB2312" w:cs="仿宋_GB2312"/>
          <w:szCs w:val="32"/>
          <w:lang w:bidi="ar"/>
        </w:rPr>
        <w:t>．积极争取</w:t>
      </w:r>
      <w:r>
        <w:rPr>
          <w:szCs w:val="32"/>
          <w:lang w:bidi="ar"/>
        </w:rPr>
        <w:t>2022</w:t>
      </w:r>
      <w:r>
        <w:rPr>
          <w:rFonts w:ascii="仿宋_GB2312" w:cs="仿宋_GB2312"/>
          <w:szCs w:val="32"/>
          <w:lang w:bidi="ar"/>
        </w:rPr>
        <w:t>年中央财政车辆购置税收入对地方资金的补助，支持公路、水运和综合货运枢纽、集疏运体系建设等。</w:t>
      </w:r>
      <w:r>
        <w:rPr>
          <w:rFonts w:ascii="楷体_GB2312" w:eastAsia="楷体_GB2312" w:cs="楷体_GB2312"/>
          <w:szCs w:val="32"/>
          <w:lang w:bidi="ar"/>
        </w:rPr>
        <w:t>（责任单位：省财政厅、省交通运输厅）</w:t>
      </w:r>
    </w:p>
    <w:p>
      <w:pPr>
        <w:adjustRightInd w:val="0"/>
        <w:snapToGrid w:val="0"/>
        <w:spacing w:line="579" w:lineRule="exact"/>
        <w:ind w:firstLine="628" w:firstLineChars="200"/>
        <w:rPr>
          <w:rFonts w:eastAsia="楷体_GB2312"/>
          <w:szCs w:val="32"/>
        </w:rPr>
      </w:pPr>
      <w:r>
        <w:rPr>
          <w:szCs w:val="32"/>
          <w:lang w:bidi="ar"/>
        </w:rPr>
        <w:t>47</w:t>
      </w:r>
      <w:r>
        <w:rPr>
          <w:rFonts w:ascii="仿宋_GB2312" w:cs="仿宋_GB2312"/>
          <w:szCs w:val="32"/>
          <w:lang w:bidi="ar"/>
        </w:rPr>
        <w:t>．各市、县（市、区）合理安排中央对地方转移支付的城市交通发展奖励资金、农村客运补贴资金等，根据实际需要统筹安排资金，用于存在困难的新能源出租车、城市公交运营等支出。</w:t>
      </w:r>
      <w:r>
        <w:rPr>
          <w:rFonts w:ascii="楷体_GB2312" w:eastAsia="楷体_GB2312" w:cs="楷体_GB2312"/>
          <w:szCs w:val="32"/>
          <w:lang w:bidi="ar"/>
        </w:rPr>
        <w:t>（责任单位：各市、县〔市、区〕政府）</w:t>
      </w:r>
    </w:p>
    <w:p>
      <w:pPr>
        <w:adjustRightInd w:val="0"/>
        <w:snapToGrid w:val="0"/>
        <w:spacing w:line="579" w:lineRule="exact"/>
        <w:ind w:firstLine="628" w:firstLineChars="200"/>
        <w:rPr>
          <w:rFonts w:eastAsia="楷体_GB2312"/>
          <w:szCs w:val="32"/>
        </w:rPr>
      </w:pPr>
      <w:r>
        <w:rPr>
          <w:szCs w:val="32"/>
          <w:lang w:bidi="ar"/>
        </w:rPr>
        <w:t>48</w:t>
      </w:r>
      <w:r>
        <w:rPr>
          <w:rFonts w:ascii="仿宋_GB2312" w:cs="仿宋_GB2312"/>
          <w:szCs w:val="32"/>
          <w:lang w:bidi="ar"/>
        </w:rPr>
        <w:t>．加强信息共享，发挥动态监控数据作用，引导金融机构创新符合道路水路运输业特点的动产质押类贷款产品，盘活车辆、船舶等资产。鼓励金融机构按市场化原则对信用等级较高、承担疫情防控和应急运输任务较重的交通运输企业加大融资支持力度，相关主管部门提供企业清单供金融机构参考。鼓励符合条件的交通运输企业发行信用类债券，拓宽交通运输企业多元化融资渠道。</w:t>
      </w:r>
      <w:r>
        <w:rPr>
          <w:rFonts w:ascii="楷体_GB2312" w:eastAsia="楷体_GB2312" w:cs="楷体_GB2312"/>
          <w:szCs w:val="32"/>
          <w:lang w:bidi="ar"/>
        </w:rPr>
        <w:t>（责任单位：人行杭州中心支行、省交通运输厅、浙江银保监局、省发展改革委、浙江证监局）</w:t>
      </w:r>
    </w:p>
    <w:p>
      <w:pPr>
        <w:adjustRightInd w:val="0"/>
        <w:snapToGrid w:val="0"/>
        <w:spacing w:line="579" w:lineRule="exact"/>
        <w:ind w:firstLine="628" w:firstLineChars="200"/>
        <w:rPr>
          <w:rFonts w:eastAsia="楷体_GB2312"/>
          <w:szCs w:val="32"/>
        </w:rPr>
      </w:pPr>
      <w:r>
        <w:rPr>
          <w:szCs w:val="32"/>
          <w:lang w:bidi="ar"/>
        </w:rPr>
        <w:t>49</w:t>
      </w:r>
      <w:r>
        <w:rPr>
          <w:rFonts w:ascii="仿宋_GB2312" w:cs="仿宋_GB2312"/>
          <w:szCs w:val="32"/>
          <w:lang w:bidi="ar"/>
        </w:rPr>
        <w:t>．推广高速公路差异化收费。对合法装载国际标准集装箱运输专用车辆，落实高速公路通行费六五折优惠政策。对使用我省发行的电子不停车收费（</w:t>
      </w:r>
      <w:r>
        <w:rPr>
          <w:szCs w:val="32"/>
          <w:lang w:bidi="ar"/>
        </w:rPr>
        <w:t>ETC</w:t>
      </w:r>
      <w:r>
        <w:rPr>
          <w:rFonts w:ascii="仿宋_GB2312" w:cs="仿宋_GB2312"/>
          <w:szCs w:val="32"/>
          <w:lang w:bidi="ar"/>
        </w:rPr>
        <w:t>）车载装置的合法装载货运车辆，实行省属及市、县（市、区）属国有全资或控股的高速公路路段通行费八五折优惠政策。</w:t>
      </w:r>
      <w:r>
        <w:rPr>
          <w:rFonts w:ascii="楷体_GB2312" w:eastAsia="楷体_GB2312" w:cs="楷体_GB2312"/>
          <w:szCs w:val="32"/>
          <w:lang w:bidi="ar"/>
        </w:rPr>
        <w:t>（责任单位：省交通运输厅、省发展改革委、省财政厅、省市场监管局）</w:t>
      </w:r>
    </w:p>
    <w:p>
      <w:pPr>
        <w:adjustRightInd w:val="0"/>
        <w:snapToGrid w:val="0"/>
        <w:spacing w:line="579" w:lineRule="exact"/>
        <w:ind w:firstLine="628" w:firstLineChars="200"/>
        <w:rPr>
          <w:rFonts w:eastAsia="楷体_GB2312"/>
          <w:b/>
          <w:kern w:val="44"/>
          <w:szCs w:val="32"/>
        </w:rPr>
      </w:pPr>
      <w:r>
        <w:rPr>
          <w:rFonts w:ascii="楷体_GB2312" w:eastAsia="楷体_GB2312" w:cs="楷体_GB2312"/>
          <w:b/>
          <w:kern w:val="44"/>
          <w:szCs w:val="32"/>
          <w:lang w:bidi="ar"/>
        </w:rPr>
        <w:t>（五）民航业</w:t>
      </w:r>
    </w:p>
    <w:p>
      <w:pPr>
        <w:adjustRightInd w:val="0"/>
        <w:snapToGrid w:val="0"/>
        <w:spacing w:line="579" w:lineRule="exact"/>
        <w:ind w:firstLine="628" w:firstLineChars="200"/>
        <w:rPr>
          <w:rFonts w:eastAsia="楷体_GB2312"/>
          <w:szCs w:val="32"/>
        </w:rPr>
      </w:pPr>
      <w:r>
        <w:rPr>
          <w:szCs w:val="32"/>
          <w:lang w:bidi="ar"/>
        </w:rPr>
        <w:t>50</w:t>
      </w:r>
      <w:r>
        <w:rPr>
          <w:rFonts w:ascii="仿宋_GB2312" w:cs="仿宋_GB2312"/>
          <w:szCs w:val="32"/>
          <w:lang w:bidi="ar"/>
        </w:rPr>
        <w:t>．</w:t>
      </w:r>
      <w:r>
        <w:rPr>
          <w:szCs w:val="32"/>
          <w:lang w:bidi="ar"/>
        </w:rPr>
        <w:t>2022</w:t>
      </w:r>
      <w:r>
        <w:rPr>
          <w:rFonts w:ascii="仿宋_GB2312" w:cs="仿宋_GB2312"/>
          <w:szCs w:val="32"/>
          <w:lang w:bidi="ar"/>
        </w:rPr>
        <w:t>年暂停航空运输企业预缴增值税一年。</w:t>
      </w:r>
      <w:r>
        <w:rPr>
          <w:rFonts w:ascii="楷体_GB2312" w:eastAsia="楷体_GB2312" w:cs="楷体_GB2312"/>
          <w:szCs w:val="32"/>
          <w:lang w:bidi="ar"/>
        </w:rPr>
        <w:t>（责任单位：省税务局）</w:t>
      </w:r>
    </w:p>
    <w:p>
      <w:pPr>
        <w:adjustRightInd w:val="0"/>
        <w:snapToGrid w:val="0"/>
        <w:spacing w:line="579" w:lineRule="exact"/>
        <w:ind w:firstLine="628" w:firstLineChars="200"/>
        <w:rPr>
          <w:rFonts w:eastAsia="楷体_GB2312"/>
          <w:szCs w:val="32"/>
        </w:rPr>
      </w:pPr>
      <w:r>
        <w:rPr>
          <w:rFonts w:eastAsia="楷体_GB2312"/>
          <w:szCs w:val="32"/>
          <w:lang w:bidi="ar"/>
        </w:rPr>
        <w:t>51</w:t>
      </w:r>
      <w:r>
        <w:rPr>
          <w:rFonts w:ascii="仿宋_GB2312" w:cs="仿宋_GB2312"/>
          <w:szCs w:val="32"/>
          <w:lang w:bidi="ar"/>
        </w:rPr>
        <w:t>．鼓励有条件的地方结合实际需要，统筹上级转移支付及自有财力，支持航空公司和机场做好疫情防控。</w:t>
      </w:r>
      <w:r>
        <w:rPr>
          <w:rFonts w:ascii="楷体_GB2312" w:eastAsia="楷体_GB2312" w:cs="楷体_GB2312"/>
          <w:szCs w:val="32"/>
          <w:lang w:bidi="ar"/>
        </w:rPr>
        <w:t>（责任单位：省卫生和健康委、省财政厅、民航浙江安全监管局，各市、县〔市、区〕政府）</w:t>
      </w:r>
    </w:p>
    <w:p>
      <w:pPr>
        <w:adjustRightInd w:val="0"/>
        <w:snapToGrid w:val="0"/>
        <w:spacing w:line="579" w:lineRule="exact"/>
        <w:ind w:firstLine="628" w:firstLineChars="200"/>
        <w:rPr>
          <w:szCs w:val="32"/>
        </w:rPr>
      </w:pPr>
      <w:r>
        <w:rPr>
          <w:szCs w:val="32"/>
          <w:lang w:bidi="ar"/>
        </w:rPr>
        <w:t>52</w:t>
      </w:r>
      <w:r>
        <w:rPr>
          <w:rFonts w:ascii="仿宋_GB2312" w:cs="仿宋_GB2312"/>
          <w:szCs w:val="32"/>
          <w:lang w:bidi="ar"/>
        </w:rPr>
        <w:t>．统筹资源加大对民航基础设施建设资金支持力度。积极争取中央财政继续通过民航发展基金对符合条件的航空航线、安全能力建设等的补贴。积极争取民航发展基金等对符合条件的中小机场和直属机场运营、安全能力建设等补贴，对民航基础设施贷款贴息，对机场和空管等项目建设投资补助。积极争取专项债，加大对相关项目建设支持力度。</w:t>
      </w:r>
      <w:r>
        <w:rPr>
          <w:rFonts w:ascii="楷体_GB2312" w:eastAsia="楷体_GB2312" w:cs="楷体_GB2312"/>
          <w:szCs w:val="32"/>
          <w:lang w:bidi="ar"/>
        </w:rPr>
        <w:t>（责任单位：民航浙江监管局、相关市、县〔市、区〕政府）</w:t>
      </w:r>
    </w:p>
    <w:p>
      <w:pPr>
        <w:spacing w:line="579" w:lineRule="exact"/>
        <w:ind w:firstLine="684" w:firstLineChars="218"/>
        <w:rPr>
          <w:szCs w:val="32"/>
        </w:rPr>
      </w:pPr>
      <w:r>
        <w:rPr>
          <w:szCs w:val="32"/>
          <w:lang w:bidi="ar"/>
        </w:rPr>
        <w:t>53</w:t>
      </w:r>
      <w:r>
        <w:rPr>
          <w:rFonts w:ascii="仿宋_GB2312" w:cs="仿宋_GB2312"/>
          <w:szCs w:val="32"/>
          <w:lang w:bidi="ar"/>
        </w:rPr>
        <w:t>．鼓励银行业金融机构加大对枢纽机场的信贷支持力度。鼓励符合条件的航空公司发行公司信用类债券，拓宽航空公司多元化融资渠道。利用发债绿色通道，加大对受疫情影响严重的航空公司和民航机场发行债务融资工具支持。</w:t>
      </w:r>
      <w:r>
        <w:rPr>
          <w:rFonts w:ascii="楷体_GB2312" w:eastAsia="楷体_GB2312" w:cs="楷体_GB2312"/>
          <w:szCs w:val="32"/>
          <w:lang w:bidi="ar"/>
        </w:rPr>
        <w:t>（责任单位：人行杭州中心支行、民航浙江监管局、浙江银保监局、省发展改革委、浙江省证监局）</w:t>
      </w:r>
    </w:p>
    <w:p>
      <w:pPr>
        <w:adjustRightInd w:val="0"/>
        <w:spacing w:line="579" w:lineRule="exact"/>
        <w:ind w:firstLine="628" w:firstLineChars="200"/>
        <w:outlineLvl w:val="0"/>
        <w:rPr>
          <w:rFonts w:eastAsia="黑体"/>
          <w:szCs w:val="32"/>
        </w:rPr>
      </w:pPr>
      <w:r>
        <w:rPr>
          <w:rFonts w:ascii="黑体" w:hAnsi="宋体" w:eastAsia="黑体" w:cs="黑体"/>
          <w:szCs w:val="32"/>
          <w:lang w:bidi="ar"/>
        </w:rPr>
        <w:t>三、精密智控强化保障</w:t>
      </w:r>
    </w:p>
    <w:p>
      <w:pPr>
        <w:adjustRightInd w:val="0"/>
        <w:snapToGrid w:val="0"/>
        <w:spacing w:line="579" w:lineRule="exact"/>
        <w:ind w:firstLine="628" w:firstLineChars="200"/>
        <w:rPr>
          <w:szCs w:val="32"/>
        </w:rPr>
      </w:pPr>
      <w:r>
        <w:rPr>
          <w:rFonts w:ascii="楷体_GB2312" w:eastAsia="楷体_GB2312" w:cs="楷体_GB2312"/>
          <w:b/>
          <w:szCs w:val="32"/>
          <w:lang w:bidi="ar"/>
        </w:rPr>
        <w:t>（一）落实精准防控。</w:t>
      </w:r>
      <w:r>
        <w:rPr>
          <w:rFonts w:ascii="仿宋_GB2312" w:cs="仿宋_GB2312"/>
          <w:szCs w:val="32"/>
          <w:lang w:bidi="ar"/>
        </w:rPr>
        <w:t>按照</w:t>
      </w:r>
      <w:r>
        <w:rPr>
          <w:szCs w:val="32"/>
          <w:lang w:bidi="ar"/>
        </w:rPr>
        <w:t>“</w:t>
      </w:r>
      <w:r>
        <w:rPr>
          <w:rFonts w:ascii="仿宋_GB2312" w:cs="仿宋_GB2312"/>
          <w:szCs w:val="32"/>
          <w:lang w:bidi="ar"/>
        </w:rPr>
        <w:t>四个精准</w:t>
      </w:r>
      <w:r>
        <w:rPr>
          <w:szCs w:val="32"/>
          <w:lang w:bidi="ar"/>
        </w:rPr>
        <w:t>”“</w:t>
      </w:r>
      <w:r>
        <w:rPr>
          <w:rFonts w:ascii="仿宋_GB2312" w:cs="仿宋_GB2312"/>
          <w:szCs w:val="32"/>
          <w:lang w:bidi="ar"/>
        </w:rPr>
        <w:t>八个不得</w:t>
      </w:r>
      <w:r>
        <w:rPr>
          <w:szCs w:val="32"/>
          <w:lang w:bidi="ar"/>
        </w:rPr>
        <w:t>”</w:t>
      </w:r>
      <w:r>
        <w:rPr>
          <w:rFonts w:ascii="仿宋_GB2312" w:cs="仿宋_GB2312"/>
          <w:szCs w:val="32"/>
          <w:lang w:bidi="ar"/>
        </w:rPr>
        <w:t>要求，推进落实我省常态化疫情防控七大机制，坚决防止和避免</w:t>
      </w:r>
      <w:r>
        <w:rPr>
          <w:szCs w:val="32"/>
          <w:lang w:bidi="ar"/>
        </w:rPr>
        <w:t>“</w:t>
      </w:r>
      <w:r>
        <w:rPr>
          <w:rFonts w:ascii="仿宋_GB2312" w:cs="仿宋_GB2312"/>
          <w:szCs w:val="32"/>
          <w:lang w:bidi="ar"/>
        </w:rPr>
        <w:t>放松防控</w:t>
      </w:r>
      <w:r>
        <w:rPr>
          <w:szCs w:val="32"/>
          <w:lang w:bidi="ar"/>
        </w:rPr>
        <w:t>”</w:t>
      </w:r>
      <w:r>
        <w:rPr>
          <w:rFonts w:ascii="仿宋_GB2312" w:cs="仿宋_GB2312"/>
          <w:szCs w:val="32"/>
          <w:lang w:bidi="ar"/>
        </w:rPr>
        <w:t>和</w:t>
      </w:r>
      <w:r>
        <w:rPr>
          <w:szCs w:val="32"/>
          <w:lang w:bidi="ar"/>
        </w:rPr>
        <w:t>“</w:t>
      </w:r>
      <w:r>
        <w:rPr>
          <w:rFonts w:ascii="仿宋_GB2312" w:cs="仿宋_GB2312"/>
          <w:szCs w:val="32"/>
          <w:lang w:bidi="ar"/>
        </w:rPr>
        <w:t>过度防控</w:t>
      </w:r>
      <w:r>
        <w:rPr>
          <w:szCs w:val="32"/>
          <w:lang w:bidi="ar"/>
        </w:rPr>
        <w:t>”</w:t>
      </w:r>
      <w:r>
        <w:rPr>
          <w:rFonts w:ascii="仿宋_GB2312" w:cs="仿宋_GB2312"/>
          <w:szCs w:val="32"/>
          <w:lang w:bidi="ar"/>
        </w:rPr>
        <w:t>两种倾向，有效恢复和保持服务业发展正常秩序。针对服务业特点，进一步健全疫情防控措施，强化层层加码问题反映、核实、纠正专项工作机制。</w:t>
      </w:r>
    </w:p>
    <w:p>
      <w:pPr>
        <w:adjustRightInd w:val="0"/>
        <w:snapToGrid w:val="0"/>
        <w:spacing w:line="579" w:lineRule="exact"/>
        <w:ind w:firstLine="628" w:firstLineChars="200"/>
        <w:rPr>
          <w:szCs w:val="32"/>
        </w:rPr>
      </w:pPr>
      <w:r>
        <w:rPr>
          <w:rFonts w:ascii="楷体_GB2312" w:eastAsia="楷体_GB2312" w:cs="楷体_GB2312"/>
          <w:b/>
          <w:szCs w:val="32"/>
          <w:lang w:bidi="ar"/>
        </w:rPr>
        <w:t>（二）实施精准帮扶。</w:t>
      </w:r>
      <w:r>
        <w:rPr>
          <w:rFonts w:ascii="仿宋_GB2312" w:cs="仿宋_GB2312"/>
          <w:szCs w:val="32"/>
          <w:lang w:bidi="ar"/>
        </w:rPr>
        <w:t>商务、文旅、交通、民航等服务业领域行业主管部门要结合本行业特征，制定出台相应领域的针对性纾困措施。省级各有关部门、各市、县（市、区）要结合行业及地方实际，抓紧出台具体政策的实施细则或操作办法，确保政策快享直达。</w:t>
      </w:r>
    </w:p>
    <w:p>
      <w:pPr>
        <w:adjustRightInd w:val="0"/>
        <w:snapToGrid w:val="0"/>
        <w:spacing w:line="579" w:lineRule="exact"/>
        <w:ind w:firstLine="628" w:firstLineChars="200"/>
        <w:rPr>
          <w:szCs w:val="32"/>
        </w:rPr>
      </w:pPr>
      <w:r>
        <w:rPr>
          <w:rFonts w:ascii="楷体_GB2312" w:eastAsia="楷体_GB2312" w:cs="楷体_GB2312"/>
          <w:b/>
          <w:szCs w:val="32"/>
          <w:lang w:bidi="ar"/>
        </w:rPr>
        <w:t>（三）加强统筹协调。</w:t>
      </w:r>
      <w:r>
        <w:rPr>
          <w:rFonts w:ascii="仿宋_GB2312" w:cs="仿宋_GB2312"/>
          <w:szCs w:val="32"/>
          <w:lang w:bidi="ar"/>
        </w:rPr>
        <w:t>成立省服务业纾困专班，推动有关政策及配套文件的出台、执行和落实，建立相关政策的落实台账，协调解决政策落实过程中的难点、堵点问题。加强宣传解读，及时回应社会诉求和关切。发挥行业协会联系企业的桥梁和纽带作用，指导帮助企业用足用好相关纾困扶持措施，及时反馈政策实施过程中的难点问题。</w:t>
      </w:r>
    </w:p>
    <w:p>
      <w:pPr>
        <w:adjustRightInd w:val="0"/>
        <w:snapToGrid w:val="0"/>
        <w:spacing w:line="579" w:lineRule="exact"/>
        <w:ind w:firstLine="628" w:firstLineChars="200"/>
        <w:rPr>
          <w:color w:val="000000"/>
          <w:szCs w:val="32"/>
        </w:rPr>
      </w:pPr>
      <w:r>
        <w:rPr>
          <w:rFonts w:ascii="楷体_GB2312" w:eastAsia="楷体_GB2312" w:cs="楷体_GB2312"/>
          <w:b/>
          <w:szCs w:val="32"/>
          <w:lang w:bidi="ar"/>
        </w:rPr>
        <w:t>（四）加强督查评估。</w:t>
      </w:r>
      <w:r>
        <w:rPr>
          <w:rFonts w:ascii="仿宋_GB2312" w:cs="仿宋_GB2312"/>
          <w:color w:val="000000"/>
          <w:szCs w:val="32"/>
          <w:lang w:bidi="ar"/>
        </w:rPr>
        <w:t>结合我省</w:t>
      </w:r>
      <w:r>
        <w:rPr>
          <w:color w:val="000000"/>
          <w:szCs w:val="32"/>
          <w:lang w:bidi="ar"/>
        </w:rPr>
        <w:t>“5+4”</w:t>
      </w:r>
      <w:r>
        <w:rPr>
          <w:rFonts w:ascii="仿宋_GB2312" w:cs="仿宋_GB2312"/>
          <w:color w:val="000000"/>
          <w:szCs w:val="32"/>
          <w:lang w:bidi="ar"/>
        </w:rPr>
        <w:t>稳进提质政策体系，坚持清单式管理与闭环式督查相结合，综合运用清单管理、数据监测、实地督查等形式进行政策落实情况跟踪。对推进工作有力的部门（单位）和市县予以激励表扬，对工作滞后的及时予以督办推动。</w:t>
      </w:r>
    </w:p>
    <w:p>
      <w:pPr>
        <w:adjustRightInd w:val="0"/>
        <w:snapToGrid w:val="0"/>
        <w:spacing w:line="579" w:lineRule="exact"/>
        <w:ind w:firstLine="628" w:firstLineChars="200"/>
        <w:rPr>
          <w:rFonts w:eastAsia="方正仿宋_GBK"/>
          <w:color w:val="000000"/>
          <w:kern w:val="0"/>
          <w:sz w:val="24"/>
          <w:szCs w:val="24"/>
        </w:rPr>
      </w:pPr>
      <w:r>
        <w:rPr>
          <w:rFonts w:ascii="仿宋_GB2312" w:cs="仿宋_GB2312"/>
          <w:color w:val="000000"/>
          <w:szCs w:val="32"/>
          <w:lang w:bidi="ar"/>
        </w:rPr>
        <w:t>本意见自印发之日起实施，除已明确外，执行期限至</w:t>
      </w:r>
      <w:r>
        <w:rPr>
          <w:color w:val="000000"/>
          <w:szCs w:val="32"/>
          <w:lang w:bidi="ar"/>
        </w:rPr>
        <w:t>2022</w:t>
      </w:r>
      <w:r>
        <w:rPr>
          <w:rFonts w:ascii="仿宋_GB2312" w:cs="仿宋_GB2312"/>
          <w:color w:val="000000"/>
          <w:szCs w:val="32"/>
          <w:lang w:bidi="ar"/>
        </w:rPr>
        <w:t>年</w:t>
      </w:r>
      <w:r>
        <w:rPr>
          <w:color w:val="000000"/>
          <w:szCs w:val="32"/>
          <w:lang w:bidi="ar"/>
        </w:rPr>
        <w:t>12</w:t>
      </w:r>
      <w:r>
        <w:rPr>
          <w:rFonts w:ascii="仿宋_GB2312" w:cs="仿宋_GB2312"/>
          <w:color w:val="000000"/>
          <w:szCs w:val="32"/>
          <w:lang w:bidi="ar"/>
        </w:rPr>
        <w:t>月</w:t>
      </w:r>
      <w:r>
        <w:rPr>
          <w:color w:val="000000"/>
          <w:szCs w:val="32"/>
          <w:lang w:bidi="ar"/>
        </w:rPr>
        <w:t>31</w:t>
      </w:r>
      <w:r>
        <w:rPr>
          <w:rFonts w:ascii="仿宋_GB2312" w:cs="仿宋_GB2312"/>
          <w:color w:val="000000"/>
          <w:szCs w:val="32"/>
          <w:lang w:bidi="ar"/>
        </w:rPr>
        <w:t>日。中央有出台新的支持政策，一并遵照执行。</w:t>
      </w:r>
    </w:p>
    <w:p>
      <w:pPr>
        <w:widowControl/>
        <w:spacing w:line="600" w:lineRule="exact"/>
        <w:jc w:val="left"/>
        <w:rPr>
          <w:rFonts w:eastAsia="方正仿宋_GBK"/>
          <w:color w:val="000000"/>
          <w:kern w:val="0"/>
          <w:sz w:val="24"/>
          <w:szCs w:val="24"/>
        </w:rPr>
      </w:pPr>
    </w:p>
    <w:p/>
    <w:p/>
    <w:p/>
    <w:p/>
    <w:p/>
    <w:p/>
    <w:p/>
    <w:p/>
    <w:p>
      <w:pPr>
        <w:sectPr>
          <w:footerReference r:id="rId5" w:type="default"/>
          <w:footerReference r:id="rId6" w:type="even"/>
          <w:pgSz w:w="11906" w:h="16838"/>
          <w:pgMar w:top="2098" w:right="1474" w:bottom="1984" w:left="1588" w:header="851" w:footer="1587" w:gutter="0"/>
          <w:cols w:space="720" w:num="1"/>
          <w:docGrid w:type="linesAndChars" w:linePitch="579" w:charSpace="1229"/>
        </w:sectPr>
      </w:pPr>
    </w:p>
    <w:p/>
    <w:p/>
    <w:p/>
    <w:p/>
    <w:p/>
    <w:p/>
    <w:p/>
    <w:p/>
    <w:p/>
    <w:p/>
    <w:p/>
    <w:p>
      <w:pPr>
        <w:spacing w:line="579" w:lineRule="exact"/>
        <w:rPr>
          <w:spacing w:val="0"/>
        </w:rPr>
      </w:pPr>
    </w:p>
    <w:p>
      <w:pPr>
        <w:spacing w:line="579" w:lineRule="exact"/>
        <w:jc w:val="right"/>
        <w:rPr>
          <w:spacing w:val="0"/>
        </w:rPr>
      </w:pPr>
    </w:p>
    <w:p>
      <w:pPr>
        <w:spacing w:line="619" w:lineRule="exact"/>
        <w:jc w:val="right"/>
        <w:rPr>
          <w:spacing w:val="0"/>
        </w:rPr>
      </w:pPr>
    </w:p>
    <w:p>
      <w:pPr>
        <w:spacing w:line="619" w:lineRule="exact"/>
        <w:jc w:val="right"/>
        <w:rPr>
          <w:spacing w:val="0"/>
        </w:rPr>
      </w:pPr>
    </w:p>
    <w:p>
      <w:pPr>
        <w:spacing w:line="619" w:lineRule="exact"/>
        <w:jc w:val="right"/>
        <w:rPr>
          <w:spacing w:val="0"/>
        </w:rPr>
      </w:pPr>
    </w:p>
    <w:p>
      <w:pPr>
        <w:spacing w:line="619" w:lineRule="exact"/>
        <w:jc w:val="right"/>
        <w:rPr>
          <w:spacing w:val="0"/>
        </w:rPr>
      </w:pPr>
    </w:p>
    <w:p>
      <w:pPr>
        <w:spacing w:line="619" w:lineRule="exact"/>
        <w:rPr>
          <w:spacing w:val="0"/>
        </w:rPr>
      </w:pPr>
    </w:p>
    <w:p>
      <w:pPr>
        <w:spacing w:line="619" w:lineRule="exact"/>
        <w:jc w:val="right"/>
        <w:rPr>
          <w:spacing w:val="0"/>
        </w:rPr>
      </w:pPr>
    </w:p>
    <w:p>
      <w:pPr>
        <w:spacing w:line="619" w:lineRule="exact"/>
        <w:jc w:val="right"/>
        <w:rPr>
          <w:spacing w:val="0"/>
        </w:rPr>
      </w:pPr>
    </w:p>
    <w:tbl>
      <w:tblPr>
        <w:tblStyle w:val="13"/>
        <w:tblW w:w="0" w:type="auto"/>
        <w:tblInd w:w="108"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651"/>
        <w:gridCol w:w="4193"/>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wBefore w:w="0" w:type="auto"/>
        </w:trPr>
        <w:tc>
          <w:tcPr>
            <w:tcW w:w="4651" w:type="dxa"/>
            <w:tcBorders>
              <w:top w:val="single" w:color="auto" w:sz="6" w:space="0"/>
              <w:bottom w:val="single" w:color="auto" w:sz="8" w:space="0"/>
            </w:tcBorders>
            <w:noWrap w:val="0"/>
            <w:vAlign w:val="center"/>
          </w:tcPr>
          <w:p>
            <w:pPr>
              <w:autoSpaceDN w:val="0"/>
              <w:spacing w:line="579" w:lineRule="exact"/>
              <w:ind w:firstLine="176" w:firstLineChars="62"/>
              <w:jc w:val="left"/>
              <w:rPr>
                <w:spacing w:val="0"/>
                <w:sz w:val="28"/>
                <w:szCs w:val="28"/>
              </w:rPr>
            </w:pPr>
            <w:r>
              <w:rPr>
                <w:spacing w:val="0"/>
                <w:sz w:val="28"/>
                <w:szCs w:val="28"/>
              </w:rPr>
              <w:t>浙江省发展和改革委员会办公室</w:t>
            </w:r>
          </w:p>
        </w:tc>
        <w:tc>
          <w:tcPr>
            <w:tcW w:w="4193" w:type="dxa"/>
            <w:tcBorders>
              <w:top w:val="single" w:color="auto" w:sz="6" w:space="0"/>
              <w:bottom w:val="single" w:color="auto" w:sz="8" w:space="0"/>
            </w:tcBorders>
            <w:noWrap w:val="0"/>
            <w:vAlign w:val="center"/>
          </w:tcPr>
          <w:p>
            <w:pPr>
              <w:autoSpaceDN w:val="0"/>
              <w:spacing w:line="579" w:lineRule="exact"/>
              <w:ind w:right="216" w:rightChars="69"/>
              <w:jc w:val="right"/>
              <w:rPr>
                <w:spacing w:val="0"/>
                <w:sz w:val="28"/>
                <w:szCs w:val="28"/>
              </w:rPr>
            </w:pPr>
            <w:r>
              <w:rPr>
                <w:spacing w:val="0"/>
                <w:sz w:val="28"/>
                <w:szCs w:val="28"/>
              </w:rPr>
              <w:t>202</w:t>
            </w:r>
            <w:r>
              <w:rPr>
                <w:rFonts w:hint="eastAsia"/>
                <w:spacing w:val="0"/>
                <w:sz w:val="28"/>
                <w:szCs w:val="28"/>
              </w:rPr>
              <w:t>2</w:t>
            </w:r>
            <w:r>
              <w:rPr>
                <w:spacing w:val="0"/>
                <w:sz w:val="28"/>
                <w:szCs w:val="28"/>
              </w:rPr>
              <w:t>年</w:t>
            </w:r>
            <w:r>
              <w:rPr>
                <w:rFonts w:hint="eastAsia"/>
                <w:spacing w:val="0"/>
                <w:sz w:val="28"/>
                <w:szCs w:val="28"/>
              </w:rPr>
              <w:t>3</w:t>
            </w:r>
            <w:r>
              <w:rPr>
                <w:spacing w:val="0"/>
                <w:sz w:val="28"/>
                <w:szCs w:val="28"/>
              </w:rPr>
              <w:t>月</w:t>
            </w:r>
            <w:r>
              <w:rPr>
                <w:rFonts w:hint="eastAsia"/>
                <w:spacing w:val="0"/>
                <w:sz w:val="28"/>
                <w:szCs w:val="28"/>
              </w:rPr>
              <w:t>31</w:t>
            </w:r>
            <w:r>
              <w:rPr>
                <w:spacing w:val="0"/>
                <w:sz w:val="28"/>
                <w:szCs w:val="28"/>
              </w:rPr>
              <w:t>日印发</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wBefore w:w="0" w:type="auto"/>
          <w:trHeight w:val="102" w:hRule="exact"/>
        </w:trPr>
        <w:tc>
          <w:tcPr>
            <w:tcW w:w="4651" w:type="dxa"/>
            <w:tcBorders>
              <w:top w:val="single" w:color="auto" w:sz="8" w:space="0"/>
              <w:bottom w:val="nil"/>
            </w:tcBorders>
            <w:noWrap w:val="0"/>
            <w:vAlign w:val="top"/>
          </w:tcPr>
          <w:p>
            <w:pPr>
              <w:autoSpaceDN w:val="0"/>
              <w:spacing w:line="579" w:lineRule="exact"/>
              <w:jc w:val="left"/>
              <w:rPr>
                <w:rFonts w:eastAsia="仿宋"/>
                <w:spacing w:val="0"/>
                <w:sz w:val="28"/>
                <w:szCs w:val="28"/>
              </w:rPr>
            </w:pPr>
          </w:p>
        </w:tc>
        <w:tc>
          <w:tcPr>
            <w:tcW w:w="4193" w:type="dxa"/>
            <w:tcBorders>
              <w:top w:val="single" w:color="auto" w:sz="8" w:space="0"/>
              <w:bottom w:val="nil"/>
            </w:tcBorders>
            <w:noWrap w:val="0"/>
            <w:vAlign w:val="top"/>
          </w:tcPr>
          <w:p>
            <w:pPr>
              <w:autoSpaceDN w:val="0"/>
              <w:spacing w:line="579" w:lineRule="exact"/>
              <w:jc w:val="right"/>
              <w:rPr>
                <w:rFonts w:eastAsia="仿宋"/>
                <w:spacing w:val="0"/>
                <w:sz w:val="28"/>
                <w:szCs w:val="28"/>
              </w:rPr>
            </w:pPr>
          </w:p>
        </w:tc>
      </w:tr>
    </w:tbl>
    <w:p>
      <w:pPr>
        <w:autoSpaceDN w:val="0"/>
        <w:spacing w:line="20" w:lineRule="exact"/>
        <w:jc w:val="left"/>
        <w:rPr>
          <w:spacing w:val="0"/>
        </w:rPr>
      </w:pPr>
    </w:p>
    <w:sectPr>
      <w:footerReference r:id="rId7" w:type="default"/>
      <w:footerReference r:id="rId8" w:type="even"/>
      <w:pgSz w:w="11906" w:h="16838"/>
      <w:pgMar w:top="2098" w:right="1474" w:bottom="1984" w:left="1588" w:header="851" w:footer="1587" w:gutter="0"/>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Arial Unicode MS"/>
    <w:panose1 w:val="02000000000000000000"/>
    <w:charset w:val="86"/>
    <w:family w:val="auto"/>
    <w:pitch w:val="default"/>
    <w:sig w:usb0="00000001" w:usb1="08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spacing w:line="400" w:lineRule="exact"/>
      <w:ind w:right="308" w:rightChars="100"/>
      <w:jc w:val="right"/>
      <w:rPr>
        <w:rFonts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4857750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wordWrap w:val="0"/>
                            <w:spacing w:line="400" w:lineRule="exact"/>
                            <w:jc w:val="right"/>
                            <w:rPr>
                              <w:rFonts w:eastAsia="宋体"/>
                              <w:sz w:val="28"/>
                              <w:szCs w:val="28"/>
                            </w:rPr>
                          </w:pPr>
                          <w:r>
                            <w:rPr>
                              <w:rStyle w:val="15"/>
                              <w:rFonts w:eastAsia="宋体"/>
                              <w:sz w:val="28"/>
                              <w:szCs w:val="28"/>
                            </w:rPr>
                            <w:t xml:space="preserve">—  </w:t>
                          </w:r>
                          <w:r>
                            <w:rPr>
                              <w:rFonts w:eastAsia="宋体"/>
                              <w:sz w:val="28"/>
                              <w:szCs w:val="28"/>
                            </w:rPr>
                            <w:fldChar w:fldCharType="begin"/>
                          </w:r>
                          <w:r>
                            <w:rPr>
                              <w:rStyle w:val="15"/>
                              <w:rFonts w:eastAsia="宋体"/>
                              <w:sz w:val="28"/>
                              <w:szCs w:val="28"/>
                            </w:rPr>
                            <w:instrText xml:space="preserve"> PAGE </w:instrText>
                          </w:r>
                          <w:r>
                            <w:rPr>
                              <w:rFonts w:eastAsia="宋体"/>
                              <w:sz w:val="28"/>
                              <w:szCs w:val="28"/>
                            </w:rPr>
                            <w:fldChar w:fldCharType="separate"/>
                          </w:r>
                          <w:r>
                            <w:rPr>
                              <w:rStyle w:val="15"/>
                              <w:rFonts w:eastAsia="宋体"/>
                              <w:sz w:val="28"/>
                              <w:szCs w:val="28"/>
                            </w:rPr>
                            <w:t>2</w:t>
                          </w:r>
                          <w:r>
                            <w:rPr>
                              <w:rFonts w:eastAsia="宋体"/>
                              <w:sz w:val="28"/>
                              <w:szCs w:val="28"/>
                            </w:rPr>
                            <w:fldChar w:fldCharType="end"/>
                          </w:r>
                          <w:r>
                            <w:rPr>
                              <w:rFonts w:eastAsia="宋体"/>
                              <w:sz w:val="28"/>
                              <w:szCs w:val="28"/>
                            </w:rPr>
                            <w:t xml:space="preserve">  </w:t>
                          </w:r>
                          <w:r>
                            <w:rPr>
                              <w:rStyle w:val="15"/>
                              <w:rFonts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2.5pt;margin-top:0pt;height:144pt;width:144pt;mso-position-horizontal-relative:margin;mso-wrap-style:none;z-index:251659264;mso-width-relative:page;mso-height-relative:page;" filled="f" stroked="f" coordsize="21600,21600" o:gfxdata="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P+P92QAAAAkBAAAPAAAAAAAAAAEAIAAA&#10;ACIAAABkcnMvZG93bnJldi54bWxQSwECFAAUAAAACACHTuJAixWE+tIBAACjAwAADgAAAAAAAAAB&#10;ACAAAAAoAQAAZHJzL2Uyb0RvYy54bWxQSwUGAAAAAAYABgBZAQAAbAUAAAAA&#10;">
              <v:fill on="f" focussize="0,0"/>
              <v:stroke on="f" weight="1.25pt"/>
              <v:imagedata o:title=""/>
              <o:lock v:ext="edit" aspectratio="f"/>
              <v:textbox inset="0mm,0mm,0mm,0mm" style="mso-fit-shape-to-text:t;">
                <w:txbxContent>
                  <w:p>
                    <w:pPr>
                      <w:pStyle w:val="11"/>
                      <w:wordWrap w:val="0"/>
                      <w:spacing w:line="400" w:lineRule="exact"/>
                      <w:jc w:val="right"/>
                      <w:rPr>
                        <w:rFonts w:eastAsia="宋体"/>
                        <w:sz w:val="28"/>
                        <w:szCs w:val="28"/>
                      </w:rPr>
                    </w:pPr>
                    <w:r>
                      <w:rPr>
                        <w:rStyle w:val="15"/>
                        <w:rFonts w:eastAsia="宋体"/>
                        <w:sz w:val="28"/>
                        <w:szCs w:val="28"/>
                      </w:rPr>
                      <w:t xml:space="preserve">—  </w:t>
                    </w:r>
                    <w:r>
                      <w:rPr>
                        <w:rFonts w:eastAsia="宋体"/>
                        <w:sz w:val="28"/>
                        <w:szCs w:val="28"/>
                      </w:rPr>
                      <w:fldChar w:fldCharType="begin"/>
                    </w:r>
                    <w:r>
                      <w:rPr>
                        <w:rStyle w:val="15"/>
                        <w:rFonts w:eastAsia="宋体"/>
                        <w:sz w:val="28"/>
                        <w:szCs w:val="28"/>
                      </w:rPr>
                      <w:instrText xml:space="preserve"> PAGE </w:instrText>
                    </w:r>
                    <w:r>
                      <w:rPr>
                        <w:rFonts w:eastAsia="宋体"/>
                        <w:sz w:val="28"/>
                        <w:szCs w:val="28"/>
                      </w:rPr>
                      <w:fldChar w:fldCharType="separate"/>
                    </w:r>
                    <w:r>
                      <w:rPr>
                        <w:rStyle w:val="15"/>
                        <w:rFonts w:eastAsia="宋体"/>
                        <w:sz w:val="28"/>
                        <w:szCs w:val="28"/>
                      </w:rPr>
                      <w:t>2</w:t>
                    </w:r>
                    <w:r>
                      <w:rPr>
                        <w:rFonts w:eastAsia="宋体"/>
                        <w:sz w:val="28"/>
                        <w:szCs w:val="28"/>
                      </w:rPr>
                      <w:fldChar w:fldCharType="end"/>
                    </w:r>
                    <w:r>
                      <w:rPr>
                        <w:rFonts w:eastAsia="宋体"/>
                        <w:sz w:val="28"/>
                        <w:szCs w:val="28"/>
                      </w:rPr>
                      <w:t xml:space="preserve">  </w:t>
                    </w:r>
                    <w:r>
                      <w:rPr>
                        <w:rStyle w:val="15"/>
                        <w:rFonts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400" w:lineRule="exact"/>
      <w:jc w:val="right"/>
      <w:rPr>
        <w:rStyle w:val="15"/>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wordWrap w:val="0"/>
                            <w:spacing w:line="400" w:lineRule="exact"/>
                            <w:jc w:val="right"/>
                            <w:rPr>
                              <w:rFonts w:eastAsia="宋体"/>
                              <w:sz w:val="28"/>
                              <w:szCs w:val="28"/>
                            </w:rPr>
                          </w:pPr>
                          <w:r>
                            <w:rPr>
                              <w:rStyle w:val="15"/>
                              <w:rFonts w:eastAsia="宋体"/>
                              <w:sz w:val="28"/>
                              <w:szCs w:val="28"/>
                            </w:rPr>
                            <w:t xml:space="preserve">—  </w:t>
                          </w:r>
                          <w:r>
                            <w:rPr>
                              <w:rFonts w:eastAsia="宋体"/>
                              <w:sz w:val="28"/>
                              <w:szCs w:val="28"/>
                            </w:rPr>
                            <w:fldChar w:fldCharType="begin"/>
                          </w:r>
                          <w:r>
                            <w:rPr>
                              <w:rStyle w:val="15"/>
                              <w:rFonts w:eastAsia="宋体"/>
                              <w:sz w:val="28"/>
                              <w:szCs w:val="28"/>
                            </w:rPr>
                            <w:instrText xml:space="preserve"> PAGE </w:instrText>
                          </w:r>
                          <w:r>
                            <w:rPr>
                              <w:rFonts w:eastAsia="宋体"/>
                              <w:sz w:val="28"/>
                              <w:szCs w:val="28"/>
                            </w:rPr>
                            <w:fldChar w:fldCharType="separate"/>
                          </w:r>
                          <w:r>
                            <w:rPr>
                              <w:rStyle w:val="15"/>
                              <w:rFonts w:eastAsia="宋体"/>
                              <w:sz w:val="28"/>
                              <w:szCs w:val="28"/>
                            </w:rPr>
                            <w:t>2</w:t>
                          </w:r>
                          <w:r>
                            <w:rPr>
                              <w:rFonts w:eastAsia="宋体"/>
                              <w:sz w:val="28"/>
                              <w:szCs w:val="28"/>
                            </w:rPr>
                            <w:fldChar w:fldCharType="end"/>
                          </w:r>
                          <w:r>
                            <w:rPr>
                              <w:rFonts w:eastAsia="宋体"/>
                              <w:sz w:val="28"/>
                              <w:szCs w:val="28"/>
                            </w:rPr>
                            <w:t xml:space="preserve">  </w:t>
                          </w:r>
                          <w:r>
                            <w:rPr>
                              <w:rStyle w:val="15"/>
                              <w:rFonts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1"/>
                      <w:wordWrap w:val="0"/>
                      <w:spacing w:line="400" w:lineRule="exact"/>
                      <w:jc w:val="right"/>
                      <w:rPr>
                        <w:rFonts w:eastAsia="宋体"/>
                        <w:sz w:val="28"/>
                        <w:szCs w:val="28"/>
                      </w:rPr>
                    </w:pPr>
                    <w:r>
                      <w:rPr>
                        <w:rStyle w:val="15"/>
                        <w:rFonts w:eastAsia="宋体"/>
                        <w:sz w:val="28"/>
                        <w:szCs w:val="28"/>
                      </w:rPr>
                      <w:t xml:space="preserve">—  </w:t>
                    </w:r>
                    <w:r>
                      <w:rPr>
                        <w:rFonts w:eastAsia="宋体"/>
                        <w:sz w:val="28"/>
                        <w:szCs w:val="28"/>
                      </w:rPr>
                      <w:fldChar w:fldCharType="begin"/>
                    </w:r>
                    <w:r>
                      <w:rPr>
                        <w:rStyle w:val="15"/>
                        <w:rFonts w:eastAsia="宋体"/>
                        <w:sz w:val="28"/>
                        <w:szCs w:val="28"/>
                      </w:rPr>
                      <w:instrText xml:space="preserve"> PAGE </w:instrText>
                    </w:r>
                    <w:r>
                      <w:rPr>
                        <w:rFonts w:eastAsia="宋体"/>
                        <w:sz w:val="28"/>
                        <w:szCs w:val="28"/>
                      </w:rPr>
                      <w:fldChar w:fldCharType="separate"/>
                    </w:r>
                    <w:r>
                      <w:rPr>
                        <w:rStyle w:val="15"/>
                        <w:rFonts w:eastAsia="宋体"/>
                        <w:sz w:val="28"/>
                        <w:szCs w:val="28"/>
                      </w:rPr>
                      <w:t>2</w:t>
                    </w:r>
                    <w:r>
                      <w:rPr>
                        <w:rFonts w:eastAsia="宋体"/>
                        <w:sz w:val="28"/>
                        <w:szCs w:val="28"/>
                      </w:rPr>
                      <w:fldChar w:fldCharType="end"/>
                    </w:r>
                    <w:r>
                      <w:rPr>
                        <w:rFonts w:eastAsia="宋体"/>
                        <w:sz w:val="28"/>
                        <w:szCs w:val="28"/>
                      </w:rPr>
                      <w:t xml:space="preserve">  </w:t>
                    </w:r>
                    <w:r>
                      <w:rPr>
                        <w:rStyle w:val="15"/>
                        <w:rFonts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spacing w:line="400" w:lineRule="exact"/>
      <w:ind w:right="308" w:rightChars="100"/>
      <w:jc w:val="right"/>
      <w:rPr>
        <w:rFonts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400" w:lineRule="exact"/>
      <w:jc w:val="right"/>
      <w:rPr>
        <w:rStyle w:val="15"/>
        <w:rFonts w:hint="eastAsia"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8EAA1"/>
    <w:multiLevelType w:val="multilevel"/>
    <w:tmpl w:val="A318EAA1"/>
    <w:lvl w:ilvl="0" w:tentative="0">
      <w:start w:val="1"/>
      <w:numFmt w:val="decimal"/>
      <w:pStyle w:val="2"/>
      <w:lvlText w:val="%1"/>
      <w:lvlJc w:val="left"/>
      <w:pPr>
        <w:ind w:left="431" w:hanging="431"/>
      </w:pPr>
      <w:rPr>
        <w:rFonts w:hint="eastAsia"/>
      </w:rPr>
    </w:lvl>
    <w:lvl w:ilvl="1" w:tentative="0">
      <w:start w:val="1"/>
      <w:numFmt w:val="decimal"/>
      <w:pStyle w:val="3"/>
      <w:lvlText w:val="%1.%2"/>
      <w:lvlJc w:val="left"/>
      <w:pPr>
        <w:ind w:left="578" w:hanging="17"/>
      </w:pPr>
      <w:rPr>
        <w:rFonts w:hint="eastAsia"/>
      </w:rPr>
    </w:lvl>
    <w:lvl w:ilvl="2" w:tentative="0">
      <w:start w:val="1"/>
      <w:numFmt w:val="decimal"/>
      <w:pStyle w:val="4"/>
      <w:lvlText w:val="%1.%2.%3"/>
      <w:lvlJc w:val="left"/>
      <w:pPr>
        <w:ind w:left="29" w:hanging="29"/>
      </w:pPr>
      <w:rPr>
        <w:rFonts w:hint="eastAsia"/>
      </w:rPr>
    </w:lvl>
    <w:lvl w:ilvl="3" w:tentative="0">
      <w:start w:val="1"/>
      <w:numFmt w:val="decimal"/>
      <w:pStyle w:val="5"/>
      <w:lvlText w:val="%1.%2.%3.%4"/>
      <w:lvlJc w:val="left"/>
      <w:pPr>
        <w:ind w:left="390" w:hanging="390"/>
      </w:pPr>
      <w:rPr>
        <w:rFonts w:hint="eastAsia"/>
        <w:lang w:val="en-US"/>
      </w:rPr>
    </w:lvl>
    <w:lvl w:ilvl="4" w:tentative="0">
      <w:start w:val="1"/>
      <w:numFmt w:val="decimal"/>
      <w:pStyle w:val="6"/>
      <w:lvlText w:val="%1.%2.%3.%4.%5"/>
      <w:lvlJc w:val="left"/>
      <w:pPr>
        <w:ind w:left="520" w:hanging="520"/>
      </w:pPr>
      <w:rPr>
        <w:rFonts w:hint="eastAsia"/>
        <w:b/>
        <w:sz w:val="28"/>
      </w:rPr>
    </w:lvl>
    <w:lvl w:ilvl="5" w:tentative="0">
      <w:start w:val="1"/>
      <w:numFmt w:val="decimal"/>
      <w:pStyle w:val="7"/>
      <w:lvlText w:val="%1.%2.%3.%4.%5.%6"/>
      <w:lvlJc w:val="left"/>
      <w:pPr>
        <w:ind w:left="650" w:firstLine="431"/>
      </w:pPr>
      <w:rPr>
        <w:rFonts w:hint="eastAsia"/>
      </w:rPr>
    </w:lvl>
    <w:lvl w:ilvl="6" w:tentative="0">
      <w:start w:val="1"/>
      <w:numFmt w:val="decimal"/>
      <w:pStyle w:val="8"/>
      <w:lvlText w:val="%1.%2.%3.%4.%5.%6.%7"/>
      <w:lvlJc w:val="left"/>
      <w:pPr>
        <w:ind w:left="780" w:firstLine="431"/>
      </w:pPr>
      <w:rPr>
        <w:rFonts w:hint="eastAsia"/>
      </w:rPr>
    </w:lvl>
    <w:lvl w:ilvl="7" w:tentative="0">
      <w:start w:val="1"/>
      <w:numFmt w:val="decimal"/>
      <w:pStyle w:val="9"/>
      <w:lvlText w:val="%1.%2.%3.%4.%5.%6.%7.%8"/>
      <w:lvlJc w:val="left"/>
      <w:pPr>
        <w:ind w:left="910" w:firstLine="431"/>
      </w:pPr>
      <w:rPr>
        <w:rFonts w:hint="eastAsia"/>
      </w:rPr>
    </w:lvl>
    <w:lvl w:ilvl="8" w:tentative="0">
      <w:start w:val="1"/>
      <w:numFmt w:val="decimal"/>
      <w:pStyle w:val="10"/>
      <w:lvlText w:val="%1.%2.%3.%4.%5.%6.%7.%8.%9"/>
      <w:lvlJc w:val="left"/>
      <w:pPr>
        <w:ind w:left="1040" w:firstLine="431"/>
      </w:pPr>
      <w:rPr>
        <w:rFonts w:hint="eastAsia"/>
      </w:rPr>
    </w:lvl>
  </w:abstractNum>
  <w:abstractNum w:abstractNumId="1">
    <w:nsid w:val="00000009"/>
    <w:multiLevelType w:val="multilevel"/>
    <w:tmpl w:val="00000009"/>
    <w:lvl w:ilvl="0" w:tentative="0">
      <w:start w:val="1"/>
      <w:numFmt w:val="chineseCountingThousand"/>
      <w:pStyle w:val="18"/>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308"/>
  <w:drawingGridVerticalSpacing w:val="29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09D5B52"/>
    <w:rsid w:val="001144C4"/>
    <w:rsid w:val="00144FDE"/>
    <w:rsid w:val="004E5117"/>
    <w:rsid w:val="0070161E"/>
    <w:rsid w:val="00702CEC"/>
    <w:rsid w:val="00B568EE"/>
    <w:rsid w:val="00EC0780"/>
    <w:rsid w:val="00F514E8"/>
    <w:rsid w:val="011D6E97"/>
    <w:rsid w:val="01E24D3D"/>
    <w:rsid w:val="02AA70E0"/>
    <w:rsid w:val="03995A78"/>
    <w:rsid w:val="03F20308"/>
    <w:rsid w:val="044A312E"/>
    <w:rsid w:val="04D77485"/>
    <w:rsid w:val="04FF203E"/>
    <w:rsid w:val="0529380C"/>
    <w:rsid w:val="05881EF1"/>
    <w:rsid w:val="07B02B91"/>
    <w:rsid w:val="07F3020E"/>
    <w:rsid w:val="083E7612"/>
    <w:rsid w:val="09DD2AC5"/>
    <w:rsid w:val="0B0E6FE2"/>
    <w:rsid w:val="0B100735"/>
    <w:rsid w:val="0B6D23B6"/>
    <w:rsid w:val="0BBF2358"/>
    <w:rsid w:val="0D12337E"/>
    <w:rsid w:val="0E21018B"/>
    <w:rsid w:val="0E5D33A0"/>
    <w:rsid w:val="0E8841E4"/>
    <w:rsid w:val="0FAF13F1"/>
    <w:rsid w:val="10A65556"/>
    <w:rsid w:val="10C01B47"/>
    <w:rsid w:val="10C66A5B"/>
    <w:rsid w:val="1162178E"/>
    <w:rsid w:val="118925D3"/>
    <w:rsid w:val="131751BA"/>
    <w:rsid w:val="133F795A"/>
    <w:rsid w:val="136C60EA"/>
    <w:rsid w:val="140D7B69"/>
    <w:rsid w:val="146F6B23"/>
    <w:rsid w:val="16B36D4D"/>
    <w:rsid w:val="1781069F"/>
    <w:rsid w:val="179F7C4F"/>
    <w:rsid w:val="17DB2059"/>
    <w:rsid w:val="181E1C81"/>
    <w:rsid w:val="18344999"/>
    <w:rsid w:val="18A43C7A"/>
    <w:rsid w:val="1A126F1F"/>
    <w:rsid w:val="1A2E6BC6"/>
    <w:rsid w:val="1A8358AB"/>
    <w:rsid w:val="1A8D4407"/>
    <w:rsid w:val="1B4E7F5F"/>
    <w:rsid w:val="1B7A37A3"/>
    <w:rsid w:val="1C154FCD"/>
    <w:rsid w:val="1C716B87"/>
    <w:rsid w:val="1CAC7B6B"/>
    <w:rsid w:val="1DAE4172"/>
    <w:rsid w:val="1DE607BD"/>
    <w:rsid w:val="1E1B49AA"/>
    <w:rsid w:val="1E645BFE"/>
    <w:rsid w:val="1EB83BF5"/>
    <w:rsid w:val="1F3919E3"/>
    <w:rsid w:val="1F4D1EEA"/>
    <w:rsid w:val="20981193"/>
    <w:rsid w:val="224D5ABB"/>
    <w:rsid w:val="228A06B6"/>
    <w:rsid w:val="23686A00"/>
    <w:rsid w:val="240176EB"/>
    <w:rsid w:val="240F7F39"/>
    <w:rsid w:val="243C3431"/>
    <w:rsid w:val="26087785"/>
    <w:rsid w:val="26287BEF"/>
    <w:rsid w:val="263343BB"/>
    <w:rsid w:val="275209AB"/>
    <w:rsid w:val="279007D6"/>
    <w:rsid w:val="27EC43A1"/>
    <w:rsid w:val="28E00B4F"/>
    <w:rsid w:val="29236FD0"/>
    <w:rsid w:val="292E501E"/>
    <w:rsid w:val="2A7121B2"/>
    <w:rsid w:val="2AC5166B"/>
    <w:rsid w:val="2DC95422"/>
    <w:rsid w:val="300D713B"/>
    <w:rsid w:val="301B2C43"/>
    <w:rsid w:val="30391EE2"/>
    <w:rsid w:val="30556BC8"/>
    <w:rsid w:val="314C0871"/>
    <w:rsid w:val="31E36604"/>
    <w:rsid w:val="324A4F10"/>
    <w:rsid w:val="326C0F15"/>
    <w:rsid w:val="32943683"/>
    <w:rsid w:val="329441B0"/>
    <w:rsid w:val="32A92D2C"/>
    <w:rsid w:val="32BF02C5"/>
    <w:rsid w:val="330A2C48"/>
    <w:rsid w:val="33E53C76"/>
    <w:rsid w:val="345B0173"/>
    <w:rsid w:val="34626C83"/>
    <w:rsid w:val="34804EEC"/>
    <w:rsid w:val="34873FB7"/>
    <w:rsid w:val="34C865A9"/>
    <w:rsid w:val="34CD048A"/>
    <w:rsid w:val="353969B7"/>
    <w:rsid w:val="35714139"/>
    <w:rsid w:val="35B93933"/>
    <w:rsid w:val="36674D7B"/>
    <w:rsid w:val="38040D9B"/>
    <w:rsid w:val="3817023E"/>
    <w:rsid w:val="38586D15"/>
    <w:rsid w:val="39AF102F"/>
    <w:rsid w:val="3E2F3F92"/>
    <w:rsid w:val="3E2F5D43"/>
    <w:rsid w:val="3E470791"/>
    <w:rsid w:val="3E713B01"/>
    <w:rsid w:val="3E7A05BD"/>
    <w:rsid w:val="3F736F9C"/>
    <w:rsid w:val="3FD17778"/>
    <w:rsid w:val="41C05E86"/>
    <w:rsid w:val="424905C4"/>
    <w:rsid w:val="425424E3"/>
    <w:rsid w:val="42C4601A"/>
    <w:rsid w:val="45456B8E"/>
    <w:rsid w:val="45E22945"/>
    <w:rsid w:val="461A5778"/>
    <w:rsid w:val="465B6AFA"/>
    <w:rsid w:val="46D44F7D"/>
    <w:rsid w:val="47371E1B"/>
    <w:rsid w:val="47951D84"/>
    <w:rsid w:val="47F5469D"/>
    <w:rsid w:val="48205263"/>
    <w:rsid w:val="49C26D8E"/>
    <w:rsid w:val="4A581909"/>
    <w:rsid w:val="4B7D188B"/>
    <w:rsid w:val="4BCA7EF6"/>
    <w:rsid w:val="4CAF00D0"/>
    <w:rsid w:val="4CB17A72"/>
    <w:rsid w:val="4D131782"/>
    <w:rsid w:val="4E4E7F1B"/>
    <w:rsid w:val="4EF16AA0"/>
    <w:rsid w:val="4F4D170C"/>
    <w:rsid w:val="509D5B52"/>
    <w:rsid w:val="519F1876"/>
    <w:rsid w:val="52B31373"/>
    <w:rsid w:val="530D52D0"/>
    <w:rsid w:val="532042F0"/>
    <w:rsid w:val="539D0640"/>
    <w:rsid w:val="578E387D"/>
    <w:rsid w:val="58064DF9"/>
    <w:rsid w:val="58363AB5"/>
    <w:rsid w:val="58924A53"/>
    <w:rsid w:val="59B53B2B"/>
    <w:rsid w:val="5B073DE6"/>
    <w:rsid w:val="5B6246E2"/>
    <w:rsid w:val="5B6C3B0B"/>
    <w:rsid w:val="5C99106D"/>
    <w:rsid w:val="5CC1262E"/>
    <w:rsid w:val="5D3C4582"/>
    <w:rsid w:val="5D7614C0"/>
    <w:rsid w:val="5DCD4B91"/>
    <w:rsid w:val="5E7D6C7C"/>
    <w:rsid w:val="5EBF3F02"/>
    <w:rsid w:val="5F3B036A"/>
    <w:rsid w:val="5F556990"/>
    <w:rsid w:val="5FCE083C"/>
    <w:rsid w:val="603A4953"/>
    <w:rsid w:val="61A76A6F"/>
    <w:rsid w:val="61B46507"/>
    <w:rsid w:val="622318AF"/>
    <w:rsid w:val="632A3BC2"/>
    <w:rsid w:val="63520F37"/>
    <w:rsid w:val="6375190D"/>
    <w:rsid w:val="66763229"/>
    <w:rsid w:val="66CE16B9"/>
    <w:rsid w:val="68BF65E6"/>
    <w:rsid w:val="68C3763B"/>
    <w:rsid w:val="69147375"/>
    <w:rsid w:val="692F59A0"/>
    <w:rsid w:val="69B226F6"/>
    <w:rsid w:val="6A63339C"/>
    <w:rsid w:val="6B7F5B96"/>
    <w:rsid w:val="6B9237C7"/>
    <w:rsid w:val="6CBB00EF"/>
    <w:rsid w:val="6DDF7723"/>
    <w:rsid w:val="6E711D3F"/>
    <w:rsid w:val="6EA45410"/>
    <w:rsid w:val="6EAC1C64"/>
    <w:rsid w:val="6F6B1899"/>
    <w:rsid w:val="6FA6433B"/>
    <w:rsid w:val="6FFFC55B"/>
    <w:rsid w:val="70B33CD6"/>
    <w:rsid w:val="71177400"/>
    <w:rsid w:val="724F4888"/>
    <w:rsid w:val="72581325"/>
    <w:rsid w:val="732A089E"/>
    <w:rsid w:val="74527242"/>
    <w:rsid w:val="74EB5A3B"/>
    <w:rsid w:val="74F60CF4"/>
    <w:rsid w:val="74F95ADA"/>
    <w:rsid w:val="75697C48"/>
    <w:rsid w:val="75E0057B"/>
    <w:rsid w:val="76573895"/>
    <w:rsid w:val="76910A96"/>
    <w:rsid w:val="76CE2958"/>
    <w:rsid w:val="772E3E17"/>
    <w:rsid w:val="78293DDC"/>
    <w:rsid w:val="78A36504"/>
    <w:rsid w:val="7AA31CB1"/>
    <w:rsid w:val="7B8D453C"/>
    <w:rsid w:val="7BAA5A20"/>
    <w:rsid w:val="7BD7548C"/>
    <w:rsid w:val="7BE57C80"/>
    <w:rsid w:val="7C033764"/>
    <w:rsid w:val="7C181D26"/>
    <w:rsid w:val="7C1F1186"/>
    <w:rsid w:val="7CDEB380"/>
    <w:rsid w:val="7D12339E"/>
    <w:rsid w:val="7DA527B2"/>
    <w:rsid w:val="7E471B9A"/>
    <w:rsid w:val="7EED2557"/>
    <w:rsid w:val="7FD61875"/>
    <w:rsid w:val="B7FF7A8D"/>
    <w:rsid w:val="D6F7C807"/>
    <w:rsid w:val="DE7907E2"/>
    <w:rsid w:val="DE7A4413"/>
    <w:rsid w:val="DFFBBDD1"/>
    <w:rsid w:val="EF87423C"/>
    <w:rsid w:val="EFEF8234"/>
    <w:rsid w:val="F4E70A8C"/>
    <w:rsid w:val="FAD744CB"/>
    <w:rsid w:val="FFFAB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1" w:hanging="431"/>
      <w:outlineLvl w:val="0"/>
    </w:pPr>
    <w:rPr>
      <w:rFonts w:ascii="Calibri" w:hAnsi="Calibri" w:eastAsia="宋体" w:cs="Times New Roman"/>
      <w:b/>
      <w:spacing w:val="0"/>
      <w:kern w:val="44"/>
      <w:sz w:val="44"/>
      <w:szCs w:val="24"/>
    </w:rPr>
  </w:style>
  <w:style w:type="paragraph" w:styleId="3">
    <w:name w:val="heading 2"/>
    <w:basedOn w:val="1"/>
    <w:next w:val="1"/>
    <w:qFormat/>
    <w:uiPriority w:val="0"/>
    <w:pPr>
      <w:keepNext/>
      <w:keepLines/>
      <w:numPr>
        <w:ilvl w:val="1"/>
        <w:numId w:val="1"/>
      </w:numPr>
      <w:spacing w:before="260" w:beforeLines="0" w:beforeAutospacing="0" w:after="260" w:afterLines="0" w:afterAutospacing="0" w:line="413" w:lineRule="auto"/>
      <w:ind w:left="578" w:hanging="17"/>
      <w:outlineLvl w:val="1"/>
    </w:pPr>
    <w:rPr>
      <w:rFonts w:ascii="Arial" w:hAnsi="Arial" w:eastAsia="黑体" w:cs="Times New Roman"/>
      <w:b/>
      <w:spacing w:val="0"/>
      <w:sz w:val="32"/>
      <w:szCs w:val="24"/>
    </w:rPr>
  </w:style>
  <w:style w:type="paragraph" w:styleId="4">
    <w:name w:val="heading 3"/>
    <w:basedOn w:val="1"/>
    <w:next w:val="1"/>
    <w:qFormat/>
    <w:uiPriority w:val="0"/>
    <w:pPr>
      <w:keepNext/>
      <w:keepLines/>
      <w:numPr>
        <w:ilvl w:val="2"/>
        <w:numId w:val="1"/>
      </w:numPr>
      <w:spacing w:before="260" w:beforeLines="0" w:beforeAutospacing="0" w:after="260" w:afterLines="0" w:afterAutospacing="0" w:line="413" w:lineRule="auto"/>
      <w:ind w:left="29" w:hanging="29"/>
      <w:outlineLvl w:val="2"/>
    </w:pPr>
    <w:rPr>
      <w:rFonts w:ascii="Calibri" w:hAnsi="Calibri" w:eastAsia="宋体" w:cs="Times New Roman"/>
      <w:b/>
      <w:spacing w:val="0"/>
      <w:sz w:val="32"/>
      <w:szCs w:val="24"/>
    </w:rPr>
  </w:style>
  <w:style w:type="paragraph" w:styleId="5">
    <w:name w:val="heading 4"/>
    <w:basedOn w:val="1"/>
    <w:next w:val="1"/>
    <w:qFormat/>
    <w:uiPriority w:val="0"/>
    <w:pPr>
      <w:keepNext/>
      <w:keepLines/>
      <w:numPr>
        <w:ilvl w:val="3"/>
        <w:numId w:val="1"/>
      </w:numPr>
      <w:spacing w:before="280" w:beforeLines="0" w:beforeAutospacing="0" w:after="290" w:afterLines="0" w:afterAutospacing="0" w:line="372" w:lineRule="auto"/>
      <w:ind w:left="390" w:hanging="390"/>
      <w:outlineLvl w:val="3"/>
    </w:pPr>
    <w:rPr>
      <w:rFonts w:ascii="Arial" w:hAnsi="Arial" w:eastAsia="黑体" w:cs="Times New Roman"/>
      <w:b/>
      <w:spacing w:val="0"/>
      <w:sz w:val="28"/>
      <w:szCs w:val="24"/>
    </w:rPr>
  </w:style>
  <w:style w:type="paragraph" w:styleId="6">
    <w:name w:val="heading 5"/>
    <w:basedOn w:val="1"/>
    <w:next w:val="1"/>
    <w:qFormat/>
    <w:uiPriority w:val="0"/>
    <w:pPr>
      <w:keepNext/>
      <w:keepLines/>
      <w:numPr>
        <w:ilvl w:val="4"/>
        <w:numId w:val="1"/>
      </w:numPr>
      <w:spacing w:before="280" w:beforeLines="0" w:beforeAutospacing="0" w:after="290" w:afterLines="0" w:afterAutospacing="0" w:line="372" w:lineRule="auto"/>
      <w:ind w:left="520" w:hanging="520"/>
      <w:outlineLvl w:val="4"/>
    </w:pPr>
    <w:rPr>
      <w:rFonts w:ascii="Calibri" w:hAnsi="Calibri" w:eastAsia="宋体" w:cs="Times New Roman"/>
      <w:b/>
      <w:spacing w:val="0"/>
      <w:sz w:val="28"/>
      <w:szCs w:val="24"/>
    </w:rPr>
  </w:style>
  <w:style w:type="paragraph" w:styleId="7">
    <w:name w:val="heading 6"/>
    <w:basedOn w:val="1"/>
    <w:next w:val="1"/>
    <w:link w:val="17"/>
    <w:qFormat/>
    <w:uiPriority w:val="0"/>
    <w:pPr>
      <w:keepNext/>
      <w:keepLines/>
      <w:numPr>
        <w:ilvl w:val="5"/>
        <w:numId w:val="1"/>
      </w:numPr>
      <w:tabs>
        <w:tab w:val="left" w:pos="0"/>
      </w:tabs>
      <w:spacing w:after="64" w:line="317" w:lineRule="auto"/>
      <w:ind w:left="0" w:firstLine="562" w:firstLineChars="200"/>
      <w:outlineLvl w:val="5"/>
    </w:pPr>
    <w:rPr>
      <w:rFonts w:ascii="Times New Roman" w:hAnsi="Times New Roman" w:eastAsia="仿宋_GB2312" w:cs="Times New Roman"/>
      <w:b/>
      <w:spacing w:val="0"/>
      <w:sz w:val="28"/>
      <w:szCs w:val="24"/>
    </w:rPr>
  </w:style>
  <w:style w:type="paragraph" w:styleId="8">
    <w:name w:val="heading 7"/>
    <w:basedOn w:val="1"/>
    <w:next w:val="1"/>
    <w:qFormat/>
    <w:uiPriority w:val="0"/>
    <w:pPr>
      <w:keepNext/>
      <w:keepLines/>
      <w:numPr>
        <w:ilvl w:val="6"/>
        <w:numId w:val="1"/>
      </w:numPr>
      <w:spacing w:before="240" w:beforeLines="0" w:beforeAutospacing="0" w:after="64" w:afterLines="0" w:afterAutospacing="0" w:line="317" w:lineRule="auto"/>
      <w:ind w:left="780" w:firstLine="431"/>
      <w:outlineLvl w:val="6"/>
    </w:pPr>
    <w:rPr>
      <w:rFonts w:ascii="Calibri" w:hAnsi="Calibri" w:eastAsia="宋体" w:cs="Times New Roman"/>
      <w:b/>
      <w:spacing w:val="0"/>
      <w:sz w:val="24"/>
      <w:szCs w:val="24"/>
    </w:rPr>
  </w:style>
  <w:style w:type="paragraph" w:styleId="9">
    <w:name w:val="heading 8"/>
    <w:basedOn w:val="1"/>
    <w:next w:val="1"/>
    <w:qFormat/>
    <w:uiPriority w:val="0"/>
    <w:pPr>
      <w:keepNext/>
      <w:keepLines/>
      <w:numPr>
        <w:ilvl w:val="7"/>
        <w:numId w:val="1"/>
      </w:numPr>
      <w:spacing w:before="240" w:beforeLines="0" w:beforeAutospacing="0" w:after="64" w:afterLines="0" w:afterAutospacing="0" w:line="317" w:lineRule="auto"/>
      <w:ind w:left="910" w:firstLine="431"/>
      <w:outlineLvl w:val="7"/>
    </w:pPr>
    <w:rPr>
      <w:rFonts w:ascii="Arial" w:hAnsi="Arial" w:eastAsia="黑体" w:cs="Times New Roman"/>
      <w:spacing w:val="0"/>
      <w:sz w:val="24"/>
      <w:szCs w:val="24"/>
    </w:rPr>
  </w:style>
  <w:style w:type="paragraph" w:styleId="10">
    <w:name w:val="heading 9"/>
    <w:basedOn w:val="1"/>
    <w:next w:val="1"/>
    <w:qFormat/>
    <w:uiPriority w:val="0"/>
    <w:pPr>
      <w:keepNext/>
      <w:keepLines/>
      <w:numPr>
        <w:ilvl w:val="8"/>
        <w:numId w:val="1"/>
      </w:numPr>
      <w:spacing w:before="240" w:beforeLines="0" w:beforeAutospacing="0" w:after="64" w:afterLines="0" w:afterAutospacing="0" w:line="317" w:lineRule="auto"/>
      <w:ind w:left="1040" w:firstLine="431"/>
      <w:outlineLvl w:val="8"/>
    </w:pPr>
    <w:rPr>
      <w:rFonts w:ascii="Arial" w:hAnsi="Arial" w:eastAsia="黑体" w:cs="Times New Roman"/>
      <w:spacing w:val="0"/>
      <w:sz w:val="21"/>
      <w:szCs w:val="24"/>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11">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2">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15">
    <w:name w:val="page number"/>
    <w:uiPriority w:val="0"/>
  </w:style>
  <w:style w:type="character" w:styleId="16">
    <w:name w:val="line number"/>
    <w:uiPriority w:val="0"/>
  </w:style>
  <w:style w:type="character" w:customStyle="1" w:styleId="17">
    <w:name w:val="标题 6 字符"/>
    <w:link w:val="7"/>
    <w:qFormat/>
    <w:uiPriority w:val="0"/>
    <w:rPr>
      <w:rFonts w:ascii="Times New Roman" w:hAnsi="Times New Roman" w:eastAsia="仿宋_GB2312" w:cs="Times New Roman"/>
      <w:b/>
      <w:sz w:val="28"/>
    </w:rPr>
  </w:style>
  <w:style w:type="paragraph" w:customStyle="1" w:styleId="18">
    <w:name w:val="居中"/>
    <w:basedOn w:val="1"/>
    <w:uiPriority w:val="0"/>
    <w:pPr>
      <w:numPr>
        <w:ilvl w:val="0"/>
        <w:numId w:val="2"/>
      </w:numP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1297</Words>
  <Characters>7394</Characters>
  <Lines>61</Lines>
  <Paragraphs>17</Paragraphs>
  <TotalTime>1</TotalTime>
  <ScaleCrop>false</ScaleCrop>
  <LinksUpToDate>false</LinksUpToDate>
  <CharactersWithSpaces>8674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2020-08-17T02:54:00Z</dcterms:created>
  <dc:creator>fjycadmin</dc:creator>
  <cp:lastModifiedBy>Administrator</cp:lastModifiedBy>
  <dcterms:modified xsi:type="dcterms:W3CDTF">2022-05-30T02:03:37Z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公文模板版本">
    <vt:lpwstr>20200227</vt:lpwstr>
  </property>
</Properties>
</file>